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C8" w:rsidRPr="00CC2DB1" w:rsidRDefault="00A04AC8" w:rsidP="007E5B74">
      <w:pPr>
        <w:pStyle w:val="Title"/>
        <w:spacing w:after="0"/>
        <w:rPr>
          <w:rFonts w:ascii="Garamond" w:hAnsi="Garamond"/>
          <w:sz w:val="14"/>
          <w:szCs w:val="12"/>
        </w:rPr>
      </w:pPr>
    </w:p>
    <w:p w:rsidR="008F5A1C" w:rsidRPr="00CC2DB1" w:rsidRDefault="00E85AD4" w:rsidP="007E5B74">
      <w:pPr>
        <w:pStyle w:val="Title"/>
        <w:spacing w:after="0"/>
        <w:rPr>
          <w:rFonts w:ascii="Garamond" w:hAnsi="Garamond"/>
          <w:sz w:val="36"/>
          <w:szCs w:val="36"/>
        </w:rPr>
      </w:pPr>
      <w:r w:rsidRPr="00CC2DB1">
        <w:rPr>
          <w:rFonts w:ascii="Garamond" w:hAnsi="Garamond"/>
          <w:sz w:val="36"/>
          <w:szCs w:val="36"/>
        </w:rPr>
        <w:t>Substance Abuse Prevention and Treatment (SAPT) Block Grant</w:t>
      </w:r>
    </w:p>
    <w:p w:rsidR="00426092" w:rsidRPr="00CC2DB1" w:rsidRDefault="00447ACC" w:rsidP="007E5B74">
      <w:pPr>
        <w:rPr>
          <w:rFonts w:ascii="Garamond" w:hAnsi="Garamond"/>
          <w:b/>
          <w:color w:val="5AA2AE" w:themeColor="accent5"/>
          <w:sz w:val="14"/>
          <w:szCs w:val="12"/>
        </w:rPr>
      </w:pPr>
      <w:r w:rsidRPr="00CC2DB1">
        <w:rPr>
          <w:rFonts w:ascii="Garamond" w:hAnsi="Garamond"/>
          <w:noProof/>
          <w:szCs w:val="20"/>
        </w:rPr>
        <mc:AlternateContent>
          <mc:Choice Requires="wps">
            <w:drawing>
              <wp:anchor distT="0" distB="0" distL="114300" distR="114300" simplePos="0" relativeHeight="251665408" behindDoc="0" locked="0" layoutInCell="1" allowOverlap="1" wp14:anchorId="1B14DCCA" wp14:editId="0A66FFE9">
                <wp:simplePos x="0" y="0"/>
                <wp:positionH relativeFrom="column">
                  <wp:posOffset>-19685</wp:posOffset>
                </wp:positionH>
                <wp:positionV relativeFrom="paragraph">
                  <wp:posOffset>45085</wp:posOffset>
                </wp:positionV>
                <wp:extent cx="1651000" cy="1842135"/>
                <wp:effectExtent l="0" t="0" r="2540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842135"/>
                        </a:xfrm>
                        <a:prstGeom prst="rect">
                          <a:avLst/>
                        </a:prstGeom>
                        <a:solidFill>
                          <a:schemeClr val="accent4">
                            <a:lumMod val="20000"/>
                            <a:lumOff val="80000"/>
                          </a:schemeClr>
                        </a:solidFill>
                        <a:ln w="9525">
                          <a:solidFill>
                            <a:schemeClr val="accent4"/>
                          </a:solidFill>
                          <a:miter lim="800000"/>
                          <a:headEnd/>
                          <a:tailEnd/>
                        </a:ln>
                      </wps:spPr>
                      <wps:txbx>
                        <w:txbxContent>
                          <w:p w:rsidR="00BB46D0" w:rsidRDefault="00CE5E70" w:rsidP="00BB46D0">
                            <w:pPr>
                              <w:rPr>
                                <w:rFonts w:ascii="Garamond" w:hAnsi="Garamond"/>
                                <w:b/>
                                <w:i/>
                                <w:sz w:val="17"/>
                                <w:szCs w:val="17"/>
                              </w:rPr>
                            </w:pPr>
                            <w:r w:rsidRPr="00CC2DB1">
                              <w:rPr>
                                <w:rFonts w:ascii="Garamond" w:hAnsi="Garamond"/>
                                <w:b/>
                                <w:i/>
                                <w:sz w:val="17"/>
                                <w:szCs w:val="17"/>
                              </w:rPr>
                              <w:t xml:space="preserve">SAPT Block Grant Funding </w:t>
                            </w:r>
                          </w:p>
                          <w:p w:rsidR="00161CF2" w:rsidRPr="00BB46D0" w:rsidRDefault="00441745" w:rsidP="00BB46D0">
                            <w:pPr>
                              <w:pStyle w:val="ListParagraph"/>
                              <w:numPr>
                                <w:ilvl w:val="0"/>
                                <w:numId w:val="13"/>
                              </w:numPr>
                              <w:ind w:left="180" w:hanging="180"/>
                              <w:rPr>
                                <w:rFonts w:ascii="Garamond" w:hAnsi="Garamond"/>
                                <w:sz w:val="16"/>
                                <w:szCs w:val="14"/>
                              </w:rPr>
                            </w:pPr>
                            <w:r w:rsidRPr="00BB46D0">
                              <w:rPr>
                                <w:rFonts w:ascii="Garamond" w:hAnsi="Garamond"/>
                                <w:sz w:val="16"/>
                                <w:szCs w:val="14"/>
                              </w:rPr>
                              <w:t>FY 2017: $</w:t>
                            </w:r>
                            <w:r w:rsidR="00BB46D0">
                              <w:rPr>
                                <w:rFonts w:ascii="Garamond" w:hAnsi="Garamond"/>
                                <w:sz w:val="16"/>
                                <w:szCs w:val="14"/>
                              </w:rPr>
                              <w:t>1.</w:t>
                            </w:r>
                            <w:r w:rsidR="00BB46D0" w:rsidRPr="00BB46D0">
                              <w:rPr>
                                <w:rFonts w:ascii="Garamond" w:hAnsi="Garamond"/>
                                <w:sz w:val="16"/>
                                <w:szCs w:val="14"/>
                              </w:rPr>
                              <w:t>85</w:t>
                            </w:r>
                            <w:r w:rsidR="00FC64EC">
                              <w:rPr>
                                <w:rFonts w:ascii="Garamond" w:hAnsi="Garamond"/>
                                <w:sz w:val="16"/>
                                <w:szCs w:val="14"/>
                              </w:rPr>
                              <w:t>8</w:t>
                            </w:r>
                            <w:r w:rsidRPr="00BB46D0">
                              <w:rPr>
                                <w:rFonts w:ascii="Garamond" w:hAnsi="Garamond"/>
                                <w:sz w:val="16"/>
                                <w:szCs w:val="14"/>
                              </w:rPr>
                              <w:t xml:space="preserve"> billion</w:t>
                            </w:r>
                          </w:p>
                          <w:p w:rsidR="00CE5E70" w:rsidRPr="00CC2DB1" w:rsidRDefault="00343BBE"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2016: $1.858</w:t>
                            </w:r>
                            <w:r w:rsidR="00CE5E70" w:rsidRPr="00CC2DB1">
                              <w:rPr>
                                <w:rFonts w:ascii="Garamond" w:hAnsi="Garamond"/>
                                <w:sz w:val="16"/>
                                <w:szCs w:val="14"/>
                              </w:rPr>
                              <w:t xml:space="preserve"> billion </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2015: $1.820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2014: $1.820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2013: $1.710 billion (after 5% sequestration cut)</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2012: $1.779 billion (Congress appropriated $1.8 billion, but HHS redirected $21.5 million to other programs)</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2011: $1.783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2010: $1.799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2009: $1.779 billion</w:t>
                            </w:r>
                          </w:p>
                          <w:p w:rsidR="00CE5E70" w:rsidRPr="00F35CD1" w:rsidRDefault="00CE5E70" w:rsidP="00CE5E70">
                            <w:pPr>
                              <w:rPr>
                                <w:rFonts w:asciiTheme="majorHAnsi" w:hAnsiTheme="majorHAnsi"/>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4DCCA" id="_x0000_t202" coordsize="21600,21600" o:spt="202" path="m,l,21600r21600,l21600,xe">
                <v:stroke joinstyle="miter"/>
                <v:path gradientshapeok="t" o:connecttype="rect"/>
              </v:shapetype>
              <v:shape id="Text Box 2" o:spid="_x0000_s1026" type="#_x0000_t202" style="position:absolute;margin-left:-1.55pt;margin-top:3.55pt;width:130pt;height:1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" fillcolor="#d9dfef [663]" strokecolor="#4a66ac [3207]">
                <v:textbox>
                  <w:txbxContent>
                    <w:p w:rsidR="00BB46D0" w:rsidRDefault="00CE5E70" w:rsidP="00BB46D0">
                      <w:pPr>
                        <w:rPr>
                          <w:rFonts w:ascii="Garamond" w:hAnsi="Garamond"/>
                          <w:b/>
                          <w:i/>
                          <w:sz w:val="17"/>
                          <w:szCs w:val="17"/>
                        </w:rPr>
                      </w:pPr>
                      <w:r w:rsidRPr="00CC2DB1">
                        <w:rPr>
                          <w:rFonts w:ascii="Garamond" w:hAnsi="Garamond"/>
                          <w:b/>
                          <w:i/>
                          <w:sz w:val="17"/>
                          <w:szCs w:val="17"/>
                        </w:rPr>
                        <w:t xml:space="preserve">SAPT Block Grant Funding </w:t>
                      </w:r>
                    </w:p>
                    <w:p w:rsidR="00161CF2" w:rsidRPr="00BB46D0" w:rsidRDefault="00441745" w:rsidP="00BB46D0">
                      <w:pPr>
                        <w:pStyle w:val="ListParagraph"/>
                        <w:numPr>
                          <w:ilvl w:val="0"/>
                          <w:numId w:val="13"/>
                        </w:numPr>
                        <w:ind w:left="180" w:hanging="180"/>
                        <w:rPr>
                          <w:rFonts w:ascii="Garamond" w:hAnsi="Garamond"/>
                          <w:sz w:val="16"/>
                          <w:szCs w:val="14"/>
                        </w:rPr>
                      </w:pPr>
                      <w:r w:rsidRPr="00BB46D0">
                        <w:rPr>
                          <w:rFonts w:ascii="Garamond" w:hAnsi="Garamond"/>
                          <w:sz w:val="16"/>
                          <w:szCs w:val="14"/>
                        </w:rPr>
                        <w:t>FY 2017: $</w:t>
                      </w:r>
                      <w:r w:rsidR="00BB46D0">
                        <w:rPr>
                          <w:rFonts w:ascii="Garamond" w:hAnsi="Garamond"/>
                          <w:sz w:val="16"/>
                          <w:szCs w:val="14"/>
                        </w:rPr>
                        <w:t>1.</w:t>
                      </w:r>
                      <w:r w:rsidR="00BB46D0" w:rsidRPr="00BB46D0">
                        <w:rPr>
                          <w:rFonts w:ascii="Garamond" w:hAnsi="Garamond"/>
                          <w:sz w:val="16"/>
                          <w:szCs w:val="14"/>
                        </w:rPr>
                        <w:t>85</w:t>
                      </w:r>
                      <w:r w:rsidR="00FC64EC">
                        <w:rPr>
                          <w:rFonts w:ascii="Garamond" w:hAnsi="Garamond"/>
                          <w:sz w:val="16"/>
                          <w:szCs w:val="14"/>
                        </w:rPr>
                        <w:t>8</w:t>
                      </w:r>
                      <w:r w:rsidRPr="00BB46D0">
                        <w:rPr>
                          <w:rFonts w:ascii="Garamond" w:hAnsi="Garamond"/>
                          <w:sz w:val="16"/>
                          <w:szCs w:val="14"/>
                        </w:rPr>
                        <w:t xml:space="preserve"> billion</w:t>
                      </w:r>
                    </w:p>
                    <w:p w:rsidR="00CE5E70" w:rsidRPr="00CC2DB1" w:rsidRDefault="00343BBE"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2016: $1.858</w:t>
                      </w:r>
                      <w:r w:rsidR="00CE5E70" w:rsidRPr="00CC2DB1">
                        <w:rPr>
                          <w:rFonts w:ascii="Garamond" w:hAnsi="Garamond"/>
                          <w:sz w:val="16"/>
                          <w:szCs w:val="14"/>
                        </w:rPr>
                        <w:t xml:space="preserve"> billion </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2015: $1.820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2014: $1.820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2013: $1.710 billion (after 5% sequestration cut)</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2012: $1.779 billion (Congress appropriated $1.8 billion, but HHS redirected $21.5 million to other programs)</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2011: $1.783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2010: $1.799 billion</w:t>
                      </w:r>
                    </w:p>
                    <w:p w:rsidR="00CE5E70" w:rsidRPr="00CC2DB1" w:rsidRDefault="00CE5E70" w:rsidP="00CE5E70">
                      <w:pPr>
                        <w:pStyle w:val="ListParagraph"/>
                        <w:numPr>
                          <w:ilvl w:val="0"/>
                          <w:numId w:val="13"/>
                        </w:numPr>
                        <w:ind w:left="180" w:hanging="180"/>
                        <w:rPr>
                          <w:rFonts w:ascii="Garamond" w:hAnsi="Garamond"/>
                          <w:sz w:val="16"/>
                          <w:szCs w:val="14"/>
                        </w:rPr>
                      </w:pPr>
                      <w:r w:rsidRPr="00CC2DB1">
                        <w:rPr>
                          <w:rFonts w:ascii="Garamond" w:hAnsi="Garamond"/>
                          <w:sz w:val="16"/>
                          <w:szCs w:val="14"/>
                        </w:rPr>
                        <w:t>FY 2009: $1.779 billion</w:t>
                      </w:r>
                    </w:p>
                    <w:p w:rsidR="00CE5E70" w:rsidRPr="00F35CD1" w:rsidRDefault="00CE5E70" w:rsidP="00CE5E70">
                      <w:pPr>
                        <w:rPr>
                          <w:rFonts w:asciiTheme="majorHAnsi" w:hAnsiTheme="majorHAnsi"/>
                          <w:i/>
                          <w:sz w:val="16"/>
                          <w:szCs w:val="16"/>
                        </w:rPr>
                      </w:pPr>
                    </w:p>
                  </w:txbxContent>
                </v:textbox>
                <w10:wrap type="square"/>
              </v:shape>
            </w:pict>
          </mc:Fallback>
        </mc:AlternateContent>
      </w:r>
    </w:p>
    <w:p w:rsidR="00525222" w:rsidRPr="00CC2DB1" w:rsidRDefault="00525222" w:rsidP="007E5B74">
      <w:pPr>
        <w:rPr>
          <w:rFonts w:ascii="Garamond" w:hAnsi="Garamond"/>
          <w:b/>
          <w:color w:val="5AA2AE" w:themeColor="accent5"/>
          <w:sz w:val="20"/>
          <w:szCs w:val="18"/>
        </w:rPr>
        <w:sectPr w:rsidR="00525222" w:rsidRPr="00CC2DB1" w:rsidSect="0003368C">
          <w:headerReference w:type="default" r:id="rId8"/>
          <w:footerReference w:type="even" r:id="rId9"/>
          <w:pgSz w:w="12240" w:h="15840"/>
          <w:pgMar w:top="1008" w:right="1008" w:bottom="720" w:left="1008" w:header="432" w:footer="0" w:gutter="0"/>
          <w:cols w:space="720"/>
          <w:docGrid w:linePitch="360"/>
        </w:sectPr>
      </w:pPr>
    </w:p>
    <w:p w:rsidR="00513F83" w:rsidRPr="00CC2DB1" w:rsidRDefault="007A0587" w:rsidP="007E5B74">
      <w:pPr>
        <w:rPr>
          <w:rFonts w:ascii="Garamond" w:hAnsi="Garamond"/>
          <w:b/>
          <w:color w:val="5AA2AE" w:themeColor="accent5"/>
          <w:sz w:val="19"/>
          <w:szCs w:val="19"/>
        </w:rPr>
      </w:pPr>
      <w:r w:rsidRPr="00CC2DB1">
        <w:rPr>
          <w:rFonts w:ascii="Garamond" w:hAnsi="Garamond"/>
          <w:b/>
          <w:color w:val="5AA2AE" w:themeColor="accent5"/>
          <w:sz w:val="19"/>
          <w:szCs w:val="19"/>
        </w:rPr>
        <w:t>Overview</w:t>
      </w:r>
      <w:bookmarkStart w:id="0" w:name="_GoBack"/>
      <w:bookmarkEnd w:id="0"/>
    </w:p>
    <w:p w:rsidR="006A13AA" w:rsidRPr="00CC2DB1" w:rsidRDefault="00E85AD4" w:rsidP="006A13AA">
      <w:pPr>
        <w:rPr>
          <w:rFonts w:ascii="Garamond" w:hAnsi="Garamond"/>
          <w:sz w:val="19"/>
          <w:szCs w:val="19"/>
        </w:rPr>
      </w:pPr>
      <w:r w:rsidRPr="00CC2DB1">
        <w:rPr>
          <w:rFonts w:ascii="Garamond" w:hAnsi="Garamond"/>
          <w:sz w:val="19"/>
          <w:szCs w:val="19"/>
        </w:rPr>
        <w:t xml:space="preserve">The Substance Abuse Prevention and Treatment (SAPT) Block Grant is distributed by formula to all States and Territories. </w:t>
      </w:r>
      <w:r w:rsidR="00426092" w:rsidRPr="00CC2DB1">
        <w:rPr>
          <w:rFonts w:ascii="Garamond" w:hAnsi="Garamond"/>
          <w:b/>
          <w:sz w:val="19"/>
          <w:szCs w:val="19"/>
        </w:rPr>
        <w:t>It i</w:t>
      </w:r>
      <w:r w:rsidRPr="00CC2DB1">
        <w:rPr>
          <w:rFonts w:ascii="Garamond" w:hAnsi="Garamond"/>
          <w:b/>
          <w:sz w:val="19"/>
          <w:szCs w:val="19"/>
        </w:rPr>
        <w:t xml:space="preserve">s the cornerstone of States’ substance abuse prevention, treatment, and recovery </w:t>
      </w:r>
      <w:r w:rsidR="00CE5E70" w:rsidRPr="00CC2DB1">
        <w:rPr>
          <w:rFonts w:ascii="Garamond" w:hAnsi="Garamond"/>
          <w:b/>
          <w:sz w:val="19"/>
          <w:szCs w:val="19"/>
        </w:rPr>
        <w:t>systems</w:t>
      </w:r>
      <w:r w:rsidR="00CE5E70" w:rsidRPr="00CC2DB1">
        <w:rPr>
          <w:rFonts w:ascii="Garamond" w:hAnsi="Garamond"/>
          <w:sz w:val="19"/>
          <w:szCs w:val="19"/>
        </w:rPr>
        <w:t xml:space="preserve">. The SAPT Block Grant is administered by the Substance Abuse and Mental Health Services Administration (SAMHSA), within the Department of Health and Human Services (HHS). </w:t>
      </w:r>
    </w:p>
    <w:p w:rsidR="00ED15B0" w:rsidRPr="00CC2DB1" w:rsidRDefault="00ED15B0" w:rsidP="006A13AA">
      <w:pPr>
        <w:rPr>
          <w:rFonts w:ascii="Garamond" w:hAnsi="Garamond"/>
          <w:sz w:val="19"/>
          <w:szCs w:val="19"/>
        </w:rPr>
      </w:pPr>
    </w:p>
    <w:p w:rsidR="005F44F8" w:rsidRPr="00CC2DB1" w:rsidRDefault="005F44F8" w:rsidP="006A13AA">
      <w:pPr>
        <w:rPr>
          <w:rFonts w:ascii="Garamond" w:hAnsi="Garamond"/>
          <w:b/>
          <w:color w:val="5AA2AE" w:themeColor="accent5"/>
          <w:sz w:val="19"/>
          <w:szCs w:val="19"/>
        </w:rPr>
      </w:pPr>
      <w:r w:rsidRPr="00CC2DB1">
        <w:rPr>
          <w:rFonts w:ascii="Garamond" w:hAnsi="Garamond"/>
          <w:b/>
          <w:color w:val="5AA2AE" w:themeColor="accent5"/>
          <w:sz w:val="19"/>
          <w:szCs w:val="19"/>
        </w:rPr>
        <w:t>SAPT Block Grant Outcomes</w:t>
      </w:r>
    </w:p>
    <w:p w:rsidR="00554D9B" w:rsidRPr="00CC2DB1" w:rsidRDefault="00824FF4" w:rsidP="002B59AD">
      <w:pPr>
        <w:rPr>
          <w:rFonts w:ascii="Garamond" w:hAnsi="Garamond"/>
          <w:sz w:val="19"/>
          <w:szCs w:val="19"/>
        </w:rPr>
      </w:pPr>
      <w:r w:rsidRPr="00CC2DB1">
        <w:rPr>
          <w:rFonts w:ascii="Garamond" w:hAnsi="Garamond"/>
          <w:sz w:val="19"/>
          <w:szCs w:val="19"/>
        </w:rPr>
        <w:t xml:space="preserve">According to SAMHSA’s </w:t>
      </w:r>
      <w:r w:rsidR="00161CF2" w:rsidRPr="00CC2DB1">
        <w:rPr>
          <w:rFonts w:ascii="Garamond" w:hAnsi="Garamond"/>
          <w:sz w:val="19"/>
          <w:szCs w:val="19"/>
        </w:rPr>
        <w:t>Substance Abuse Prevention and Treatment Block Grant Program Profile</w:t>
      </w:r>
      <w:r w:rsidRPr="00CC2DB1">
        <w:rPr>
          <w:rFonts w:ascii="Garamond" w:hAnsi="Garamond"/>
          <w:sz w:val="19"/>
          <w:szCs w:val="19"/>
        </w:rPr>
        <w:t xml:space="preserve">, </w:t>
      </w:r>
      <w:r w:rsidR="00ED15B0" w:rsidRPr="00CC2DB1">
        <w:rPr>
          <w:rFonts w:ascii="Garamond" w:hAnsi="Garamond"/>
          <w:b/>
          <w:sz w:val="19"/>
          <w:szCs w:val="19"/>
        </w:rPr>
        <w:t>SAPT Block Grant funds</w:t>
      </w:r>
      <w:r w:rsidR="00A15B54" w:rsidRPr="00CC2DB1">
        <w:rPr>
          <w:rFonts w:ascii="Garamond" w:hAnsi="Garamond"/>
          <w:b/>
          <w:sz w:val="19"/>
          <w:szCs w:val="19"/>
        </w:rPr>
        <w:t xml:space="preserve"> annually</w:t>
      </w:r>
      <w:r w:rsidR="00ED15B0" w:rsidRPr="00CC2DB1">
        <w:rPr>
          <w:rFonts w:ascii="Garamond" w:hAnsi="Garamond"/>
          <w:b/>
          <w:sz w:val="19"/>
          <w:szCs w:val="19"/>
        </w:rPr>
        <w:t xml:space="preserve"> provide treatment services for </w:t>
      </w:r>
      <w:r w:rsidR="00161CF2" w:rsidRPr="00CC2DB1">
        <w:rPr>
          <w:rFonts w:ascii="Garamond" w:hAnsi="Garamond"/>
          <w:b/>
          <w:sz w:val="19"/>
          <w:szCs w:val="19"/>
        </w:rPr>
        <w:t>1</w:t>
      </w:r>
      <w:r w:rsidR="001E7391" w:rsidRPr="00CC2DB1">
        <w:rPr>
          <w:rFonts w:ascii="Garamond" w:hAnsi="Garamond"/>
          <w:b/>
          <w:sz w:val="19"/>
          <w:szCs w:val="19"/>
        </w:rPr>
        <w:t>.</w:t>
      </w:r>
      <w:r w:rsidR="002B59AD" w:rsidRPr="00CC2DB1">
        <w:rPr>
          <w:rFonts w:ascii="Garamond" w:hAnsi="Garamond"/>
          <w:b/>
          <w:sz w:val="19"/>
          <w:szCs w:val="19"/>
        </w:rPr>
        <w:t>5</w:t>
      </w:r>
      <w:r w:rsidR="00ED15B0" w:rsidRPr="00CC2DB1">
        <w:rPr>
          <w:rFonts w:ascii="Garamond" w:hAnsi="Garamond"/>
          <w:b/>
          <w:sz w:val="19"/>
          <w:szCs w:val="19"/>
        </w:rPr>
        <w:t xml:space="preserve"> million Americans</w:t>
      </w:r>
      <w:r w:rsidR="00ED15B0" w:rsidRPr="00CC2DB1">
        <w:rPr>
          <w:rFonts w:ascii="Garamond" w:hAnsi="Garamond"/>
          <w:sz w:val="19"/>
          <w:szCs w:val="19"/>
        </w:rPr>
        <w:t xml:space="preserve">. </w:t>
      </w:r>
      <w:r w:rsidRPr="00CC2DB1">
        <w:rPr>
          <w:rFonts w:ascii="Garamond" w:hAnsi="Garamond"/>
          <w:sz w:val="19"/>
          <w:szCs w:val="19"/>
        </w:rPr>
        <w:t>At discharge</w:t>
      </w:r>
      <w:r w:rsidR="00244C3C" w:rsidRPr="00CC2DB1">
        <w:rPr>
          <w:rFonts w:ascii="Garamond" w:hAnsi="Garamond"/>
          <w:sz w:val="19"/>
          <w:szCs w:val="19"/>
        </w:rPr>
        <w:t xml:space="preserve"> from block grant-</w:t>
      </w:r>
      <w:r w:rsidRPr="00CC2DB1">
        <w:rPr>
          <w:rFonts w:ascii="Garamond" w:hAnsi="Garamond"/>
          <w:sz w:val="19"/>
          <w:szCs w:val="19"/>
        </w:rPr>
        <w:t>funded programs, 7</w:t>
      </w:r>
      <w:r w:rsidR="00161CF2" w:rsidRPr="00CC2DB1">
        <w:rPr>
          <w:rFonts w:ascii="Garamond" w:hAnsi="Garamond"/>
          <w:sz w:val="19"/>
          <w:szCs w:val="19"/>
        </w:rPr>
        <w:t>0</w:t>
      </w:r>
      <w:r w:rsidRPr="00CC2DB1">
        <w:rPr>
          <w:rFonts w:ascii="Garamond" w:hAnsi="Garamond"/>
          <w:sz w:val="19"/>
          <w:szCs w:val="19"/>
        </w:rPr>
        <w:t>% of clients demonstrate abstinence</w:t>
      </w:r>
      <w:r w:rsidR="00244C3C" w:rsidRPr="00CC2DB1">
        <w:rPr>
          <w:rFonts w:ascii="Garamond" w:hAnsi="Garamond"/>
          <w:sz w:val="19"/>
          <w:szCs w:val="19"/>
        </w:rPr>
        <w:t xml:space="preserve"> from</w:t>
      </w:r>
      <w:r w:rsidRPr="00CC2DB1">
        <w:rPr>
          <w:rFonts w:ascii="Garamond" w:hAnsi="Garamond"/>
          <w:sz w:val="19"/>
          <w:szCs w:val="19"/>
        </w:rPr>
        <w:t xml:space="preserve"> illegal drug use and </w:t>
      </w:r>
      <w:r w:rsidR="00161CF2" w:rsidRPr="00CC2DB1">
        <w:rPr>
          <w:rFonts w:ascii="Garamond" w:hAnsi="Garamond"/>
          <w:sz w:val="19"/>
          <w:szCs w:val="19"/>
        </w:rPr>
        <w:t>83</w:t>
      </w:r>
      <w:r w:rsidRPr="00CC2DB1">
        <w:rPr>
          <w:rFonts w:ascii="Garamond" w:hAnsi="Garamond"/>
          <w:sz w:val="19"/>
          <w:szCs w:val="19"/>
        </w:rPr>
        <w:t xml:space="preserve">% </w:t>
      </w:r>
      <w:r w:rsidR="00A15B54" w:rsidRPr="00CC2DB1">
        <w:rPr>
          <w:rFonts w:ascii="Garamond" w:hAnsi="Garamond"/>
          <w:sz w:val="19"/>
          <w:szCs w:val="19"/>
        </w:rPr>
        <w:t>are</w:t>
      </w:r>
      <w:r w:rsidRPr="00CC2DB1">
        <w:rPr>
          <w:rFonts w:ascii="Garamond" w:hAnsi="Garamond"/>
          <w:sz w:val="19"/>
          <w:szCs w:val="19"/>
        </w:rPr>
        <w:t xml:space="preserve"> abstinent from alcohol use. Additionally, of</w:t>
      </w:r>
      <w:r w:rsidR="004B15C3" w:rsidRPr="00CC2DB1">
        <w:rPr>
          <w:rFonts w:ascii="Garamond" w:hAnsi="Garamond"/>
          <w:sz w:val="19"/>
          <w:szCs w:val="19"/>
        </w:rPr>
        <w:t xml:space="preserve"> clients </w:t>
      </w:r>
      <w:r w:rsidR="00ED15B0" w:rsidRPr="00CC2DB1">
        <w:rPr>
          <w:rFonts w:ascii="Garamond" w:hAnsi="Garamond"/>
          <w:sz w:val="19"/>
          <w:szCs w:val="19"/>
        </w:rPr>
        <w:t>discharge</w:t>
      </w:r>
      <w:r w:rsidR="00193F86" w:rsidRPr="00CC2DB1">
        <w:rPr>
          <w:rFonts w:ascii="Garamond" w:hAnsi="Garamond"/>
          <w:sz w:val="19"/>
          <w:szCs w:val="19"/>
        </w:rPr>
        <w:t>d</w:t>
      </w:r>
      <w:r w:rsidR="00ED15B0" w:rsidRPr="00CC2DB1">
        <w:rPr>
          <w:rFonts w:ascii="Garamond" w:hAnsi="Garamond"/>
          <w:sz w:val="19"/>
          <w:szCs w:val="19"/>
        </w:rPr>
        <w:t xml:space="preserve"> from treatment, </w:t>
      </w:r>
      <w:r w:rsidR="00161CF2" w:rsidRPr="00CC2DB1">
        <w:rPr>
          <w:rFonts w:ascii="Garamond" w:hAnsi="Garamond"/>
          <w:sz w:val="19"/>
          <w:szCs w:val="19"/>
        </w:rPr>
        <w:t>89</w:t>
      </w:r>
      <w:r w:rsidR="00ED15B0" w:rsidRPr="00CC2DB1">
        <w:rPr>
          <w:rFonts w:ascii="Garamond" w:hAnsi="Garamond"/>
          <w:sz w:val="19"/>
          <w:szCs w:val="19"/>
        </w:rPr>
        <w:t xml:space="preserve">% </w:t>
      </w:r>
      <w:r w:rsidR="00A15B54" w:rsidRPr="00CC2DB1">
        <w:rPr>
          <w:rFonts w:ascii="Garamond" w:hAnsi="Garamond"/>
          <w:sz w:val="19"/>
          <w:szCs w:val="19"/>
        </w:rPr>
        <w:t>have</w:t>
      </w:r>
      <w:r w:rsidR="00ED15B0" w:rsidRPr="00CC2DB1">
        <w:rPr>
          <w:rFonts w:ascii="Garamond" w:hAnsi="Garamond"/>
          <w:sz w:val="19"/>
          <w:szCs w:val="19"/>
        </w:rPr>
        <w:t xml:space="preserve"> stabl</w:t>
      </w:r>
      <w:r w:rsidRPr="00CC2DB1">
        <w:rPr>
          <w:rFonts w:ascii="Garamond" w:hAnsi="Garamond"/>
          <w:sz w:val="19"/>
          <w:szCs w:val="19"/>
        </w:rPr>
        <w:t>e housing</w:t>
      </w:r>
      <w:r w:rsidR="006A59E4" w:rsidRPr="00CC2DB1">
        <w:rPr>
          <w:rFonts w:ascii="Garamond" w:hAnsi="Garamond"/>
          <w:sz w:val="19"/>
          <w:szCs w:val="19"/>
        </w:rPr>
        <w:t>,</w:t>
      </w:r>
      <w:r w:rsidRPr="00CC2DB1">
        <w:rPr>
          <w:rFonts w:ascii="Garamond" w:hAnsi="Garamond"/>
          <w:sz w:val="19"/>
          <w:szCs w:val="19"/>
        </w:rPr>
        <w:t xml:space="preserve"> and 93%</w:t>
      </w:r>
      <w:r w:rsidR="00A15B54" w:rsidRPr="00CC2DB1">
        <w:rPr>
          <w:rFonts w:ascii="Garamond" w:hAnsi="Garamond"/>
          <w:sz w:val="19"/>
          <w:szCs w:val="19"/>
        </w:rPr>
        <w:t xml:space="preserve"> have</w:t>
      </w:r>
      <w:r w:rsidRPr="00CC2DB1">
        <w:rPr>
          <w:rFonts w:ascii="Garamond" w:hAnsi="Garamond"/>
          <w:sz w:val="19"/>
          <w:szCs w:val="19"/>
        </w:rPr>
        <w:t xml:space="preserve"> had no arrests</w:t>
      </w:r>
      <w:r w:rsidR="00ED15B0" w:rsidRPr="00CC2DB1">
        <w:rPr>
          <w:rFonts w:ascii="Garamond" w:hAnsi="Garamond"/>
          <w:sz w:val="19"/>
          <w:szCs w:val="19"/>
        </w:rPr>
        <w:t>.</w:t>
      </w:r>
    </w:p>
    <w:p w:rsidR="00447ACC" w:rsidRPr="00CC2DB1" w:rsidRDefault="00447ACC" w:rsidP="002B5247">
      <w:pPr>
        <w:rPr>
          <w:rFonts w:ascii="Garamond" w:hAnsi="Garamond"/>
          <w:b/>
          <w:color w:val="5AA2AE" w:themeColor="accent5"/>
          <w:sz w:val="19"/>
          <w:szCs w:val="19"/>
        </w:rPr>
      </w:pPr>
    </w:p>
    <w:p w:rsidR="002B5247" w:rsidRPr="00CC2DB1" w:rsidRDefault="00CC2DB1" w:rsidP="002B5247">
      <w:pPr>
        <w:rPr>
          <w:rFonts w:ascii="Garamond" w:hAnsi="Garamond"/>
          <w:b/>
          <w:color w:val="5AA2AE" w:themeColor="accent5"/>
          <w:sz w:val="19"/>
          <w:szCs w:val="19"/>
        </w:rPr>
      </w:pPr>
      <w:r w:rsidRPr="00CC2DB1">
        <w:rPr>
          <w:rFonts w:ascii="Garamond" w:hAnsi="Garamond"/>
          <w:noProof/>
          <w:sz w:val="19"/>
          <w:szCs w:val="19"/>
        </w:rPr>
        <w:drawing>
          <wp:anchor distT="0" distB="0" distL="114300" distR="114300" simplePos="0" relativeHeight="251667456" behindDoc="0" locked="0" layoutInCell="1" allowOverlap="1" wp14:anchorId="61B84D27" wp14:editId="7674AA85">
            <wp:simplePos x="0" y="0"/>
            <wp:positionH relativeFrom="column">
              <wp:posOffset>2535555</wp:posOffset>
            </wp:positionH>
            <wp:positionV relativeFrom="paragraph">
              <wp:posOffset>635</wp:posOffset>
            </wp:positionV>
            <wp:extent cx="4039235" cy="2415540"/>
            <wp:effectExtent l="0" t="0" r="18415" b="2286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B5247" w:rsidRPr="00CC2DB1">
        <w:rPr>
          <w:rFonts w:ascii="Garamond" w:hAnsi="Garamond"/>
          <w:b/>
          <w:color w:val="5AA2AE" w:themeColor="accent5"/>
          <w:sz w:val="19"/>
          <w:szCs w:val="19"/>
        </w:rPr>
        <w:t>Funding Decreasing over Time</w:t>
      </w:r>
    </w:p>
    <w:p w:rsidR="00BB5C87" w:rsidRPr="00CC2DB1" w:rsidRDefault="00BB5C87" w:rsidP="00BB5C87">
      <w:pPr>
        <w:rPr>
          <w:rFonts w:ascii="Garamond" w:hAnsi="Garamond"/>
          <w:sz w:val="19"/>
          <w:szCs w:val="19"/>
        </w:rPr>
      </w:pPr>
      <w:r w:rsidRPr="00BB5C87">
        <w:rPr>
          <w:rFonts w:ascii="Garamond" w:hAnsi="Garamond"/>
          <w:noProof/>
          <w:sz w:val="19"/>
          <w:szCs w:val="19"/>
        </w:rPr>
        <mc:AlternateContent>
          <mc:Choice Requires="wps">
            <w:drawing>
              <wp:anchor distT="0" distB="0" distL="114300" distR="114300" simplePos="0" relativeHeight="251681792" behindDoc="0" locked="0" layoutInCell="1" allowOverlap="1" wp14:anchorId="1E79C066" wp14:editId="3FD6C4B3">
                <wp:simplePos x="0" y="0"/>
                <wp:positionH relativeFrom="column">
                  <wp:posOffset>4401820</wp:posOffset>
                </wp:positionH>
                <wp:positionV relativeFrom="paragraph">
                  <wp:posOffset>1075690</wp:posOffset>
                </wp:positionV>
                <wp:extent cx="129540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chemeClr val="accent4"/>
                          </a:solidFill>
                          <a:miter lim="800000"/>
                          <a:headEnd/>
                          <a:tailEnd/>
                        </a:ln>
                      </wps:spPr>
                      <wps:txbx>
                        <w:txbxContent>
                          <w:p w:rsidR="00BB5C87" w:rsidRPr="00E9679D" w:rsidRDefault="00BB5C87" w:rsidP="00BB5C87">
                            <w:pPr>
                              <w:jc w:val="center"/>
                              <w:rPr>
                                <w:rFonts w:asciiTheme="majorHAnsi" w:hAnsiTheme="majorHAnsi"/>
                                <w:b/>
                                <w:sz w:val="16"/>
                                <w:szCs w:val="16"/>
                              </w:rPr>
                            </w:pPr>
                            <w:r w:rsidRPr="00E9679D">
                              <w:rPr>
                                <w:rFonts w:asciiTheme="majorHAnsi" w:hAnsiTheme="majorHAnsi"/>
                                <w:b/>
                                <w:sz w:val="16"/>
                                <w:szCs w:val="16"/>
                              </w:rPr>
                              <w:t>-2</w:t>
                            </w:r>
                            <w:r>
                              <w:rPr>
                                <w:rFonts w:asciiTheme="majorHAnsi" w:hAnsiTheme="majorHAnsi"/>
                                <w:b/>
                                <w:sz w:val="16"/>
                                <w:szCs w:val="16"/>
                              </w:rPr>
                              <w:t>9</w:t>
                            </w:r>
                            <w:r w:rsidRPr="00E9679D">
                              <w:rPr>
                                <w:rFonts w:asciiTheme="majorHAnsi" w:hAnsiTheme="majorHAnsi"/>
                                <w:b/>
                                <w:sz w:val="16"/>
                                <w:szCs w:val="16"/>
                              </w:rPr>
                              <w:t>%</w:t>
                            </w:r>
                            <w:r>
                              <w:rPr>
                                <w:rFonts w:asciiTheme="majorHAnsi" w:hAnsiTheme="majorHAnsi"/>
                                <w:b/>
                                <w:sz w:val="16"/>
                                <w:szCs w:val="16"/>
                              </w:rPr>
                              <w:t xml:space="preserve"> or -$542 million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9C066" id="_x0000_s1027" type="#_x0000_t202" style="position:absolute;margin-left:346.6pt;margin-top:84.7pt;width:10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" strokecolor="#4a66ac [3207]">
                <v:textbox style="mso-fit-shape-to-text:t">
                  <w:txbxContent>
                    <w:p w:rsidR="00BB5C87" w:rsidRPr="00E9679D" w:rsidRDefault="00BB5C87" w:rsidP="00BB5C87">
                      <w:pPr>
                        <w:jc w:val="center"/>
                        <w:rPr>
                          <w:rFonts w:asciiTheme="majorHAnsi" w:hAnsiTheme="majorHAnsi"/>
                          <w:b/>
                          <w:sz w:val="16"/>
                          <w:szCs w:val="16"/>
                        </w:rPr>
                      </w:pPr>
                      <w:r w:rsidRPr="00E9679D">
                        <w:rPr>
                          <w:rFonts w:asciiTheme="majorHAnsi" w:hAnsiTheme="majorHAnsi"/>
                          <w:b/>
                          <w:sz w:val="16"/>
                          <w:szCs w:val="16"/>
                        </w:rPr>
                        <w:t>-2</w:t>
                      </w:r>
                      <w:r>
                        <w:rPr>
                          <w:rFonts w:asciiTheme="majorHAnsi" w:hAnsiTheme="majorHAnsi"/>
                          <w:b/>
                          <w:sz w:val="16"/>
                          <w:szCs w:val="16"/>
                        </w:rPr>
                        <w:t>9</w:t>
                      </w:r>
                      <w:r w:rsidRPr="00E9679D">
                        <w:rPr>
                          <w:rFonts w:asciiTheme="majorHAnsi" w:hAnsiTheme="majorHAnsi"/>
                          <w:b/>
                          <w:sz w:val="16"/>
                          <w:szCs w:val="16"/>
                        </w:rPr>
                        <w:t>%</w:t>
                      </w:r>
                      <w:r>
                        <w:rPr>
                          <w:rFonts w:asciiTheme="majorHAnsi" w:hAnsiTheme="majorHAnsi"/>
                          <w:b/>
                          <w:sz w:val="16"/>
                          <w:szCs w:val="16"/>
                        </w:rPr>
                        <w:t xml:space="preserve"> or -$542 million</w:t>
                      </w:r>
                    </w:p>
                  </w:txbxContent>
                </v:textbox>
              </v:shape>
            </w:pict>
          </mc:Fallback>
        </mc:AlternateContent>
      </w:r>
      <w:r w:rsidRPr="00BB5C87">
        <w:rPr>
          <w:rFonts w:ascii="Garamond" w:hAnsi="Garamond"/>
          <w:sz w:val="19"/>
          <w:szCs w:val="19"/>
        </w:rPr>
        <w:t xml:space="preserve">The SAPT Block Grant is a critical safety net program. </w:t>
      </w:r>
      <w:r w:rsidRPr="00BB5C87">
        <w:rPr>
          <w:rFonts w:ascii="Garamond" w:hAnsi="Garamond"/>
          <w:b/>
          <w:sz w:val="19"/>
          <w:szCs w:val="19"/>
        </w:rPr>
        <w:t>Over the last 10 years, SAPT Block Grant funding has not kept up with health care inflation, resulting in a staggering 29% decrease in the real value of funding by FY 2017 (to $1.312 million)</w:t>
      </w:r>
      <w:r w:rsidRPr="00BB5C87">
        <w:rPr>
          <w:rFonts w:ascii="Garamond" w:hAnsi="Garamond"/>
          <w:sz w:val="19"/>
          <w:szCs w:val="19"/>
        </w:rPr>
        <w:t>. As inflation increases, the actual purchasing power of the same funding decreases. In order to restore the SAPT Block Grant’s 2006 purchasing power, Congress would need to allocate an additional $542 million for FY 2018. As States work to maintain their systems with fewer resources, the demand for services continues to rise. According to the National Survey on Drug Use and Health (NSDUH), past month use of illicit drugs has been on the rise over the past decade, increasing from 8.3% of individuals aged 12 or older in 2006 to 10.1% in 2015.</w:t>
      </w:r>
      <w:r w:rsidRPr="00CC2DB1">
        <w:rPr>
          <w:rFonts w:ascii="Garamond" w:hAnsi="Garamond"/>
          <w:sz w:val="19"/>
          <w:szCs w:val="19"/>
        </w:rPr>
        <w:t xml:space="preserve"> </w:t>
      </w:r>
    </w:p>
    <w:p w:rsidR="002B5247" w:rsidRPr="00CC2DB1" w:rsidRDefault="002B5247" w:rsidP="006A13AA">
      <w:pPr>
        <w:rPr>
          <w:rFonts w:ascii="Garamond" w:hAnsi="Garamond"/>
          <w:b/>
          <w:color w:val="5AA2AE" w:themeColor="accent5"/>
          <w:sz w:val="19"/>
          <w:szCs w:val="19"/>
        </w:rPr>
      </w:pPr>
    </w:p>
    <w:p w:rsidR="00CE5E70" w:rsidRPr="00CC2DB1" w:rsidRDefault="00554D9B" w:rsidP="006A13AA">
      <w:pPr>
        <w:rPr>
          <w:rFonts w:ascii="Garamond" w:hAnsi="Garamond"/>
          <w:b/>
          <w:color w:val="5AA2AE" w:themeColor="accent5"/>
          <w:sz w:val="19"/>
          <w:szCs w:val="19"/>
        </w:rPr>
      </w:pPr>
      <w:r w:rsidRPr="00CC2DB1">
        <w:rPr>
          <w:rFonts w:ascii="Garamond" w:hAnsi="Garamond"/>
          <w:b/>
          <w:color w:val="5AA2AE" w:themeColor="accent5"/>
          <w:sz w:val="19"/>
          <w:szCs w:val="19"/>
        </w:rPr>
        <w:t>Financial Burden of Substance Use Disorders</w:t>
      </w:r>
    </w:p>
    <w:p w:rsidR="00823F67" w:rsidRPr="00CC2DB1" w:rsidRDefault="00823F67" w:rsidP="006A13AA">
      <w:pPr>
        <w:rPr>
          <w:rFonts w:ascii="Garamond" w:hAnsi="Garamond"/>
          <w:sz w:val="19"/>
          <w:szCs w:val="19"/>
        </w:rPr>
      </w:pPr>
      <w:r w:rsidRPr="00CC2DB1">
        <w:rPr>
          <w:rFonts w:ascii="Garamond" w:hAnsi="Garamond"/>
          <w:sz w:val="19"/>
          <w:szCs w:val="19"/>
        </w:rPr>
        <w:t>According to</w:t>
      </w:r>
      <w:r w:rsidR="00193F86" w:rsidRPr="00CC2DB1">
        <w:rPr>
          <w:rFonts w:ascii="Garamond" w:hAnsi="Garamond"/>
          <w:sz w:val="19"/>
          <w:szCs w:val="19"/>
        </w:rPr>
        <w:t xml:space="preserve"> NSDUH</w:t>
      </w:r>
      <w:r w:rsidRPr="00CC2DB1">
        <w:rPr>
          <w:rFonts w:ascii="Garamond" w:hAnsi="Garamond"/>
          <w:sz w:val="19"/>
          <w:szCs w:val="19"/>
        </w:rPr>
        <w:t xml:space="preserve">, </w:t>
      </w:r>
      <w:r w:rsidR="00FD2D2E" w:rsidRPr="00CC2DB1">
        <w:rPr>
          <w:rFonts w:ascii="Garamond" w:hAnsi="Garamond"/>
          <w:sz w:val="19"/>
          <w:szCs w:val="19"/>
        </w:rPr>
        <w:t>21.</w:t>
      </w:r>
      <w:r w:rsidR="009753FA" w:rsidRPr="00CC2DB1">
        <w:rPr>
          <w:rFonts w:ascii="Garamond" w:hAnsi="Garamond"/>
          <w:sz w:val="19"/>
          <w:szCs w:val="19"/>
        </w:rPr>
        <w:t>7</w:t>
      </w:r>
      <w:r w:rsidR="00417FAA" w:rsidRPr="00CC2DB1">
        <w:rPr>
          <w:rFonts w:ascii="Garamond" w:hAnsi="Garamond"/>
          <w:sz w:val="19"/>
          <w:szCs w:val="19"/>
        </w:rPr>
        <w:t xml:space="preserve"> million people aged 12 or older need</w:t>
      </w:r>
      <w:r w:rsidR="005F44F8" w:rsidRPr="00CC2DB1">
        <w:rPr>
          <w:rFonts w:ascii="Garamond" w:hAnsi="Garamond"/>
          <w:sz w:val="19"/>
          <w:szCs w:val="19"/>
        </w:rPr>
        <w:t>ed</w:t>
      </w:r>
      <w:r w:rsidR="00417FAA" w:rsidRPr="00CC2DB1">
        <w:rPr>
          <w:rFonts w:ascii="Garamond" w:hAnsi="Garamond"/>
          <w:sz w:val="19"/>
          <w:szCs w:val="19"/>
        </w:rPr>
        <w:t xml:space="preserve"> treatment for an alcohol or </w:t>
      </w:r>
      <w:r w:rsidR="00FD2D2E" w:rsidRPr="00CC2DB1">
        <w:rPr>
          <w:rFonts w:ascii="Garamond" w:hAnsi="Garamond"/>
          <w:sz w:val="19"/>
          <w:szCs w:val="19"/>
        </w:rPr>
        <w:t>illicit drug use problem in 201</w:t>
      </w:r>
      <w:r w:rsidR="009753FA" w:rsidRPr="00CC2DB1">
        <w:rPr>
          <w:rFonts w:ascii="Garamond" w:hAnsi="Garamond"/>
          <w:sz w:val="19"/>
          <w:szCs w:val="19"/>
        </w:rPr>
        <w:t>5</w:t>
      </w:r>
      <w:r w:rsidR="00D052B5" w:rsidRPr="00CC2DB1">
        <w:rPr>
          <w:rFonts w:ascii="Garamond" w:hAnsi="Garamond"/>
          <w:sz w:val="19"/>
          <w:szCs w:val="19"/>
        </w:rPr>
        <w:t xml:space="preserve"> (met criteria for abuse or dependence). During the same year, </w:t>
      </w:r>
      <w:r w:rsidR="009753FA" w:rsidRPr="00CC2DB1">
        <w:rPr>
          <w:rFonts w:ascii="Garamond" w:hAnsi="Garamond"/>
          <w:sz w:val="19"/>
          <w:szCs w:val="19"/>
        </w:rPr>
        <w:t>only 3</w:t>
      </w:r>
      <w:r w:rsidR="00417FAA" w:rsidRPr="00CC2DB1">
        <w:rPr>
          <w:rFonts w:ascii="Garamond" w:hAnsi="Garamond"/>
          <w:sz w:val="19"/>
          <w:szCs w:val="19"/>
        </w:rPr>
        <w:t xml:space="preserve"> million received treatment for such a problem</w:t>
      </w:r>
      <w:r w:rsidR="00D54514" w:rsidRPr="00CC2DB1">
        <w:rPr>
          <w:rFonts w:ascii="Garamond" w:hAnsi="Garamond"/>
          <w:sz w:val="19"/>
          <w:szCs w:val="19"/>
        </w:rPr>
        <w:t xml:space="preserve">. As a result, </w:t>
      </w:r>
      <w:r w:rsidR="009753FA" w:rsidRPr="00CC2DB1">
        <w:rPr>
          <w:rFonts w:ascii="Garamond" w:hAnsi="Garamond"/>
          <w:sz w:val="19"/>
          <w:szCs w:val="19"/>
        </w:rPr>
        <w:t>over 18</w:t>
      </w:r>
      <w:r w:rsidR="00417FAA" w:rsidRPr="00CC2DB1">
        <w:rPr>
          <w:rFonts w:ascii="Garamond" w:hAnsi="Garamond"/>
          <w:sz w:val="19"/>
          <w:szCs w:val="19"/>
        </w:rPr>
        <w:t xml:space="preserve"> million Americans needed but </w:t>
      </w:r>
      <w:r w:rsidR="005F44F8" w:rsidRPr="00CC2DB1">
        <w:rPr>
          <w:rFonts w:ascii="Garamond" w:hAnsi="Garamond"/>
          <w:sz w:val="19"/>
          <w:szCs w:val="19"/>
        </w:rPr>
        <w:t xml:space="preserve">did </w:t>
      </w:r>
      <w:r w:rsidR="00417FAA" w:rsidRPr="00CC2DB1">
        <w:rPr>
          <w:rFonts w:ascii="Garamond" w:hAnsi="Garamond"/>
          <w:sz w:val="19"/>
          <w:szCs w:val="19"/>
        </w:rPr>
        <w:t>not receive services for</w:t>
      </w:r>
      <w:r w:rsidR="00FD3F4F" w:rsidRPr="00CC2DB1">
        <w:rPr>
          <w:rFonts w:ascii="Garamond" w:hAnsi="Garamond"/>
          <w:sz w:val="19"/>
          <w:szCs w:val="19"/>
        </w:rPr>
        <w:t xml:space="preserve"> a substance use problem in 201</w:t>
      </w:r>
      <w:r w:rsidR="009753FA" w:rsidRPr="00CC2DB1">
        <w:rPr>
          <w:rFonts w:ascii="Garamond" w:hAnsi="Garamond"/>
          <w:sz w:val="19"/>
          <w:szCs w:val="19"/>
        </w:rPr>
        <w:t>5</w:t>
      </w:r>
      <w:r w:rsidR="00417FAA" w:rsidRPr="00CC2DB1">
        <w:rPr>
          <w:rFonts w:ascii="Garamond" w:hAnsi="Garamond"/>
          <w:sz w:val="19"/>
          <w:szCs w:val="19"/>
        </w:rPr>
        <w:t xml:space="preserve">. The economic impact of substance use disorders is staggering. The </w:t>
      </w:r>
      <w:r w:rsidR="00417FAA" w:rsidRPr="00CC2DB1">
        <w:rPr>
          <w:rFonts w:ascii="Garamond" w:hAnsi="Garamond"/>
          <w:b/>
          <w:sz w:val="19"/>
          <w:szCs w:val="19"/>
        </w:rPr>
        <w:t>National Institute on Drug Abuse (NIDA) estimates that illegal drugs, alcohol, and tobacco cost society roughly $</w:t>
      </w:r>
      <w:r w:rsidR="009753FA" w:rsidRPr="00CC2DB1">
        <w:rPr>
          <w:rFonts w:ascii="Garamond" w:hAnsi="Garamond"/>
          <w:b/>
          <w:sz w:val="19"/>
          <w:szCs w:val="19"/>
        </w:rPr>
        <w:t>700</w:t>
      </w:r>
      <w:r w:rsidR="00417FAA" w:rsidRPr="00CC2DB1">
        <w:rPr>
          <w:rFonts w:ascii="Garamond" w:hAnsi="Garamond"/>
          <w:b/>
          <w:sz w:val="19"/>
          <w:szCs w:val="19"/>
        </w:rPr>
        <w:t xml:space="preserve"> billion every year</w:t>
      </w:r>
      <w:r w:rsidR="00CA1B0E" w:rsidRPr="00CC2DB1">
        <w:rPr>
          <w:rFonts w:ascii="Garamond" w:hAnsi="Garamond"/>
          <w:b/>
          <w:sz w:val="19"/>
          <w:szCs w:val="19"/>
        </w:rPr>
        <w:t xml:space="preserve"> </w:t>
      </w:r>
      <w:r w:rsidR="00CA1B0E" w:rsidRPr="00CC2DB1">
        <w:rPr>
          <w:rFonts w:ascii="Garamond" w:hAnsi="Garamond"/>
          <w:sz w:val="19"/>
          <w:szCs w:val="19"/>
        </w:rPr>
        <w:t>or</w:t>
      </w:r>
      <w:r w:rsidR="00417FAA" w:rsidRPr="00CC2DB1">
        <w:rPr>
          <w:rFonts w:ascii="Garamond" w:hAnsi="Garamond"/>
          <w:sz w:val="19"/>
          <w:szCs w:val="19"/>
        </w:rPr>
        <w:t xml:space="preserve"> $1</w:t>
      </w:r>
      <w:r w:rsidR="009753FA" w:rsidRPr="00CC2DB1">
        <w:rPr>
          <w:rFonts w:ascii="Garamond" w:hAnsi="Garamond"/>
          <w:sz w:val="19"/>
          <w:szCs w:val="19"/>
        </w:rPr>
        <w:t>93</w:t>
      </w:r>
      <w:r w:rsidR="00417FAA" w:rsidRPr="00CC2DB1">
        <w:rPr>
          <w:rFonts w:ascii="Garamond" w:hAnsi="Garamond"/>
          <w:sz w:val="19"/>
          <w:szCs w:val="19"/>
        </w:rPr>
        <w:t xml:space="preserve"> billion for illegal drugs, $</w:t>
      </w:r>
      <w:r w:rsidR="009753FA" w:rsidRPr="00CC2DB1">
        <w:rPr>
          <w:rFonts w:ascii="Garamond" w:hAnsi="Garamond"/>
          <w:sz w:val="19"/>
          <w:szCs w:val="19"/>
        </w:rPr>
        <w:t>224</w:t>
      </w:r>
      <w:r w:rsidR="0027341D" w:rsidRPr="00CC2DB1">
        <w:rPr>
          <w:rFonts w:ascii="Garamond" w:hAnsi="Garamond"/>
          <w:sz w:val="19"/>
          <w:szCs w:val="19"/>
        </w:rPr>
        <w:t xml:space="preserve"> billion for alcohol</w:t>
      </w:r>
      <w:r w:rsidR="009753FA" w:rsidRPr="00CC2DB1">
        <w:rPr>
          <w:rFonts w:ascii="Garamond" w:hAnsi="Garamond"/>
          <w:sz w:val="19"/>
          <w:szCs w:val="19"/>
        </w:rPr>
        <w:t>, and $295 billion for tobacco</w:t>
      </w:r>
      <w:r w:rsidR="0027341D" w:rsidRPr="00CC2DB1">
        <w:rPr>
          <w:rFonts w:ascii="Garamond" w:hAnsi="Garamond"/>
          <w:sz w:val="19"/>
          <w:szCs w:val="19"/>
        </w:rPr>
        <w:t>.</w:t>
      </w:r>
    </w:p>
    <w:p w:rsidR="0027341D" w:rsidRPr="00CC2DB1" w:rsidRDefault="0027341D" w:rsidP="006A13AA">
      <w:pPr>
        <w:rPr>
          <w:rFonts w:ascii="Garamond" w:hAnsi="Garamond"/>
          <w:sz w:val="19"/>
          <w:szCs w:val="19"/>
        </w:rPr>
      </w:pPr>
    </w:p>
    <w:p w:rsidR="0027341D" w:rsidRPr="00CC2DB1" w:rsidRDefault="005F44F8" w:rsidP="006A13AA">
      <w:pPr>
        <w:rPr>
          <w:rFonts w:ascii="Garamond" w:hAnsi="Garamond"/>
          <w:b/>
          <w:color w:val="5AA2AE" w:themeColor="accent5"/>
          <w:sz w:val="19"/>
          <w:szCs w:val="19"/>
        </w:rPr>
      </w:pPr>
      <w:r w:rsidRPr="00CC2DB1">
        <w:rPr>
          <w:rFonts w:ascii="Garamond" w:hAnsi="Garamond"/>
          <w:b/>
          <w:color w:val="5AA2AE" w:themeColor="accent5"/>
          <w:sz w:val="19"/>
          <w:szCs w:val="19"/>
        </w:rPr>
        <w:t>Substance Use Disorders</w:t>
      </w:r>
      <w:r w:rsidR="0027341D" w:rsidRPr="00CC2DB1">
        <w:rPr>
          <w:rFonts w:ascii="Garamond" w:hAnsi="Garamond"/>
          <w:b/>
          <w:color w:val="5AA2AE" w:themeColor="accent5"/>
          <w:sz w:val="19"/>
          <w:szCs w:val="19"/>
        </w:rPr>
        <w:t xml:space="preserve"> Represent Tiny Fraction of </w:t>
      </w:r>
      <w:r w:rsidRPr="00CC2DB1">
        <w:rPr>
          <w:rFonts w:ascii="Garamond" w:hAnsi="Garamond"/>
          <w:b/>
          <w:color w:val="5AA2AE" w:themeColor="accent5"/>
          <w:sz w:val="19"/>
          <w:szCs w:val="19"/>
        </w:rPr>
        <w:t xml:space="preserve">Overall </w:t>
      </w:r>
      <w:r w:rsidR="0027341D" w:rsidRPr="00CC2DB1">
        <w:rPr>
          <w:rFonts w:ascii="Garamond" w:hAnsi="Garamond"/>
          <w:b/>
          <w:color w:val="5AA2AE" w:themeColor="accent5"/>
          <w:sz w:val="19"/>
          <w:szCs w:val="19"/>
        </w:rPr>
        <w:t>Health Expenditures</w:t>
      </w:r>
    </w:p>
    <w:p w:rsidR="00087E9E" w:rsidRPr="00CC2DB1" w:rsidRDefault="00087E9E" w:rsidP="00632DC1">
      <w:pPr>
        <w:rPr>
          <w:rFonts w:ascii="Garamond" w:hAnsi="Garamond"/>
          <w:sz w:val="19"/>
          <w:szCs w:val="19"/>
        </w:rPr>
      </w:pPr>
      <w:r w:rsidRPr="00CC2DB1">
        <w:rPr>
          <w:rFonts w:ascii="Garamond" w:hAnsi="Garamond"/>
          <w:sz w:val="19"/>
          <w:szCs w:val="19"/>
        </w:rPr>
        <w:t>According to SAMHSA’s</w:t>
      </w:r>
      <w:r w:rsidR="004B15C3" w:rsidRPr="00CC2DB1">
        <w:rPr>
          <w:rFonts w:ascii="Garamond" w:hAnsi="Garamond"/>
          <w:sz w:val="19"/>
          <w:szCs w:val="19"/>
        </w:rPr>
        <w:t xml:space="preserve"> 201</w:t>
      </w:r>
      <w:r w:rsidR="00632DC1" w:rsidRPr="00CC2DB1">
        <w:rPr>
          <w:rFonts w:ascii="Garamond" w:hAnsi="Garamond"/>
          <w:sz w:val="19"/>
          <w:szCs w:val="19"/>
        </w:rPr>
        <w:t>6</w:t>
      </w:r>
      <w:r w:rsidR="004B15C3" w:rsidRPr="00CC2DB1">
        <w:rPr>
          <w:rFonts w:ascii="Garamond" w:hAnsi="Garamond"/>
          <w:sz w:val="19"/>
          <w:szCs w:val="19"/>
        </w:rPr>
        <w:t xml:space="preserve"> report,</w:t>
      </w:r>
      <w:r w:rsidRPr="00CC2DB1">
        <w:rPr>
          <w:rFonts w:ascii="Garamond" w:hAnsi="Garamond"/>
          <w:sz w:val="19"/>
          <w:szCs w:val="19"/>
        </w:rPr>
        <w:t xml:space="preserve"> </w:t>
      </w:r>
      <w:r w:rsidRPr="00CC2DB1">
        <w:rPr>
          <w:rFonts w:ascii="Garamond" w:hAnsi="Garamond"/>
          <w:i/>
          <w:sz w:val="19"/>
          <w:szCs w:val="19"/>
        </w:rPr>
        <w:t>National Expenditures for Mental Health Services and Subs</w:t>
      </w:r>
      <w:r w:rsidR="00632DC1" w:rsidRPr="00CC2DB1">
        <w:rPr>
          <w:rFonts w:ascii="Garamond" w:hAnsi="Garamond"/>
          <w:i/>
          <w:sz w:val="19"/>
          <w:szCs w:val="19"/>
        </w:rPr>
        <w:t>tance Abuse Treatment, 1986-2014</w:t>
      </w:r>
      <w:r w:rsidR="00632DC1" w:rsidRPr="00CC2DB1">
        <w:rPr>
          <w:rFonts w:ascii="Garamond" w:hAnsi="Garamond"/>
          <w:sz w:val="19"/>
          <w:szCs w:val="19"/>
        </w:rPr>
        <w:t xml:space="preserve">, spending on substance use disorders decreased as a share of all health spending from 2.0 percent in 1986 to 1.1 percent in 2002, and remained stable ever since. </w:t>
      </w:r>
      <w:r w:rsidR="00632DC1" w:rsidRPr="00CC2DB1">
        <w:rPr>
          <w:rFonts w:ascii="Garamond" w:hAnsi="Garamond"/>
          <w:b/>
          <w:sz w:val="19"/>
          <w:szCs w:val="19"/>
        </w:rPr>
        <w:t>E</w:t>
      </w:r>
      <w:r w:rsidRPr="00CC2DB1">
        <w:rPr>
          <w:rFonts w:ascii="Garamond" w:hAnsi="Garamond"/>
          <w:b/>
          <w:sz w:val="19"/>
          <w:szCs w:val="19"/>
        </w:rPr>
        <w:t xml:space="preserve">xpenditures for substance use </w:t>
      </w:r>
      <w:r w:rsidR="005F44F8" w:rsidRPr="00CC2DB1">
        <w:rPr>
          <w:rFonts w:ascii="Garamond" w:hAnsi="Garamond"/>
          <w:b/>
          <w:sz w:val="19"/>
          <w:szCs w:val="19"/>
        </w:rPr>
        <w:t xml:space="preserve">disorder </w:t>
      </w:r>
      <w:r w:rsidRPr="00CC2DB1">
        <w:rPr>
          <w:rFonts w:ascii="Garamond" w:hAnsi="Garamond"/>
          <w:b/>
          <w:sz w:val="19"/>
          <w:szCs w:val="19"/>
        </w:rPr>
        <w:t>services represented only 1</w:t>
      </w:r>
      <w:r w:rsidR="00632DC1" w:rsidRPr="00CC2DB1">
        <w:rPr>
          <w:rFonts w:ascii="Garamond" w:hAnsi="Garamond"/>
          <w:b/>
          <w:sz w:val="19"/>
          <w:szCs w:val="19"/>
        </w:rPr>
        <w:t>.2</w:t>
      </w:r>
      <w:r w:rsidRPr="00CC2DB1">
        <w:rPr>
          <w:rFonts w:ascii="Garamond" w:hAnsi="Garamond"/>
          <w:b/>
          <w:sz w:val="19"/>
          <w:szCs w:val="19"/>
        </w:rPr>
        <w:t>% of all health expenditures</w:t>
      </w:r>
      <w:r w:rsidR="00632DC1" w:rsidRPr="00CC2DB1">
        <w:rPr>
          <w:rFonts w:ascii="Garamond" w:hAnsi="Garamond"/>
          <w:sz w:val="19"/>
          <w:szCs w:val="19"/>
        </w:rPr>
        <w:t xml:space="preserve"> in 2014</w:t>
      </w:r>
      <w:r w:rsidRPr="00CC2DB1">
        <w:rPr>
          <w:rFonts w:ascii="Garamond" w:hAnsi="Garamond"/>
          <w:sz w:val="19"/>
          <w:szCs w:val="19"/>
        </w:rPr>
        <w:t>. That translates to approximately</w:t>
      </w:r>
      <w:r w:rsidR="00632DC1" w:rsidRPr="00CC2DB1">
        <w:rPr>
          <w:rFonts w:ascii="Garamond" w:hAnsi="Garamond"/>
          <w:sz w:val="19"/>
          <w:szCs w:val="19"/>
        </w:rPr>
        <w:t xml:space="preserve"> $3</w:t>
      </w:r>
      <w:r w:rsidR="005F44F8" w:rsidRPr="00CC2DB1">
        <w:rPr>
          <w:rFonts w:ascii="Garamond" w:hAnsi="Garamond"/>
          <w:sz w:val="19"/>
          <w:szCs w:val="19"/>
        </w:rPr>
        <w:t>4 billion for substance use disorders</w:t>
      </w:r>
      <w:r w:rsidRPr="00CC2DB1">
        <w:rPr>
          <w:rFonts w:ascii="Garamond" w:hAnsi="Garamond"/>
          <w:sz w:val="19"/>
          <w:szCs w:val="19"/>
        </w:rPr>
        <w:t xml:space="preserve"> vs. $</w:t>
      </w:r>
      <w:r w:rsidR="00632DC1" w:rsidRPr="00CC2DB1">
        <w:rPr>
          <w:rFonts w:ascii="Garamond" w:hAnsi="Garamond"/>
          <w:sz w:val="19"/>
          <w:szCs w:val="19"/>
        </w:rPr>
        <w:t>3.2</w:t>
      </w:r>
      <w:r w:rsidRPr="00CC2DB1">
        <w:rPr>
          <w:rFonts w:ascii="Garamond" w:hAnsi="Garamond"/>
          <w:sz w:val="19"/>
          <w:szCs w:val="19"/>
        </w:rPr>
        <w:t xml:space="preserve"> trillion for all health expenditures.</w:t>
      </w:r>
      <w:r w:rsidR="00632DC1" w:rsidRPr="00CC2DB1">
        <w:rPr>
          <w:rFonts w:ascii="Garamond" w:hAnsi="Garamond"/>
          <w:sz w:val="19"/>
          <w:szCs w:val="19"/>
        </w:rPr>
        <w:t xml:space="preserve"> </w:t>
      </w:r>
    </w:p>
    <w:p w:rsidR="00D05096" w:rsidRPr="00CC2DB1" w:rsidRDefault="00D05096" w:rsidP="00D05096">
      <w:pPr>
        <w:rPr>
          <w:rFonts w:ascii="Garamond" w:hAnsi="Garamond"/>
          <w:b/>
          <w:color w:val="5AA2AE" w:themeColor="accent5"/>
          <w:sz w:val="19"/>
          <w:szCs w:val="19"/>
        </w:rPr>
      </w:pPr>
    </w:p>
    <w:p w:rsidR="00D05096" w:rsidRPr="00CC2DB1" w:rsidRDefault="00D05096" w:rsidP="00D05096">
      <w:pPr>
        <w:rPr>
          <w:rFonts w:ascii="Garamond" w:hAnsi="Garamond"/>
          <w:b/>
          <w:color w:val="5AA2AE" w:themeColor="accent5"/>
          <w:sz w:val="19"/>
          <w:szCs w:val="19"/>
        </w:rPr>
      </w:pPr>
      <w:r w:rsidRPr="00CC2DB1">
        <w:rPr>
          <w:rFonts w:ascii="Garamond" w:hAnsi="Garamond"/>
          <w:b/>
          <w:color w:val="5AA2AE" w:themeColor="accent5"/>
          <w:sz w:val="19"/>
          <w:szCs w:val="19"/>
        </w:rPr>
        <w:t>Investments in Substance Abuse Save</w:t>
      </w:r>
      <w:r w:rsidR="00903EE0" w:rsidRPr="00CC2DB1">
        <w:rPr>
          <w:rFonts w:ascii="Garamond" w:hAnsi="Garamond"/>
          <w:b/>
          <w:color w:val="5AA2AE" w:themeColor="accent5"/>
          <w:sz w:val="19"/>
          <w:szCs w:val="19"/>
        </w:rPr>
        <w:t>s</w:t>
      </w:r>
      <w:r w:rsidRPr="00CC2DB1">
        <w:rPr>
          <w:rFonts w:ascii="Garamond" w:hAnsi="Garamond"/>
          <w:b/>
          <w:color w:val="5AA2AE" w:themeColor="accent5"/>
          <w:sz w:val="19"/>
          <w:szCs w:val="19"/>
        </w:rPr>
        <w:t xml:space="preserve"> Money</w:t>
      </w:r>
    </w:p>
    <w:p w:rsidR="00D05096" w:rsidRPr="00CC2DB1" w:rsidRDefault="00D05096" w:rsidP="001E0F16">
      <w:pPr>
        <w:rPr>
          <w:rFonts w:ascii="Garamond" w:hAnsi="Garamond"/>
          <w:sz w:val="19"/>
          <w:szCs w:val="19"/>
        </w:rPr>
      </w:pPr>
      <w:r w:rsidRPr="00CC2DB1">
        <w:rPr>
          <w:rFonts w:ascii="Garamond" w:hAnsi="Garamond"/>
          <w:sz w:val="19"/>
          <w:szCs w:val="19"/>
        </w:rPr>
        <w:t xml:space="preserve">In 2006, the National Institute on Drug Abuse (NIDA) noted that for every dollar spent on substance use disorder treatment programs, there is an estimated $4 to $7 reduction in the cost of drug related crimes. With outpatient programs, total savings can exceed costs by 12 to 1. Substance abuse prevention is also a cost-effective way to reduce the financial burden of substance abuse and substance use disorders. </w:t>
      </w:r>
      <w:r w:rsidR="001E0F16" w:rsidRPr="00CC2DB1">
        <w:rPr>
          <w:rFonts w:ascii="Garamond" w:hAnsi="Garamond"/>
          <w:sz w:val="19"/>
          <w:szCs w:val="19"/>
        </w:rPr>
        <w:t xml:space="preserve">According to the Surgeon General’s 2016 </w:t>
      </w:r>
      <w:r w:rsidR="001E0F16" w:rsidRPr="00CC2DB1">
        <w:rPr>
          <w:rFonts w:ascii="Garamond" w:hAnsi="Garamond"/>
          <w:i/>
          <w:sz w:val="19"/>
          <w:szCs w:val="19"/>
        </w:rPr>
        <w:t>Report on Alcohol, Drugs, and Health</w:t>
      </w:r>
      <w:r w:rsidR="001E0F16" w:rsidRPr="00CC2DB1">
        <w:rPr>
          <w:rFonts w:ascii="Garamond" w:hAnsi="Garamond"/>
          <w:sz w:val="19"/>
          <w:szCs w:val="19"/>
        </w:rPr>
        <w:t>, every $1 spent on effective, school-based prevention programs can save an estimated $18 in costs related to problems later in life.</w:t>
      </w:r>
    </w:p>
    <w:p w:rsidR="00D05096" w:rsidRPr="00CC2DB1" w:rsidRDefault="00D05096" w:rsidP="00D05096">
      <w:pPr>
        <w:rPr>
          <w:rFonts w:ascii="Garamond" w:hAnsi="Garamond"/>
          <w:b/>
          <w:color w:val="FFFFFF" w:themeColor="background1"/>
          <w:sz w:val="19"/>
          <w:szCs w:val="19"/>
        </w:rPr>
      </w:pPr>
    </w:p>
    <w:p w:rsidR="00217B0F" w:rsidRPr="00CC2DB1" w:rsidRDefault="00217B0F" w:rsidP="00217B0F">
      <w:pPr>
        <w:rPr>
          <w:rFonts w:ascii="Garamond" w:hAnsi="Garamond"/>
          <w:b/>
          <w:color w:val="5AA2AE" w:themeColor="accent5"/>
          <w:sz w:val="19"/>
          <w:szCs w:val="19"/>
        </w:rPr>
      </w:pPr>
      <w:r w:rsidRPr="00CC2DB1">
        <w:rPr>
          <w:rFonts w:ascii="Garamond" w:hAnsi="Garamond"/>
          <w:b/>
          <w:color w:val="5AA2AE" w:themeColor="accent5"/>
          <w:sz w:val="19"/>
          <w:szCs w:val="19"/>
        </w:rPr>
        <w:t>SAPT Block Grant Produces Results</w:t>
      </w:r>
    </w:p>
    <w:p w:rsidR="00217B0F" w:rsidRPr="00CC2DB1" w:rsidRDefault="00217B0F" w:rsidP="00217B0F">
      <w:pPr>
        <w:rPr>
          <w:rFonts w:ascii="Garamond" w:hAnsi="Garamond"/>
          <w:sz w:val="19"/>
          <w:szCs w:val="19"/>
        </w:rPr>
      </w:pPr>
      <w:r w:rsidRPr="00CC2DB1">
        <w:rPr>
          <w:rFonts w:ascii="Garamond" w:hAnsi="Garamond"/>
          <w:sz w:val="19"/>
          <w:szCs w:val="19"/>
        </w:rPr>
        <w:t xml:space="preserve">An independent study of the SAPT Block Grant, released in June 2009, found that the program was effective in: </w:t>
      </w:r>
    </w:p>
    <w:p w:rsidR="00632DC1" w:rsidRPr="00CC2DB1" w:rsidRDefault="00217B0F" w:rsidP="00632DC1">
      <w:pPr>
        <w:pStyle w:val="ListParagraph"/>
        <w:numPr>
          <w:ilvl w:val="0"/>
          <w:numId w:val="16"/>
        </w:numPr>
        <w:rPr>
          <w:rFonts w:ascii="Garamond" w:hAnsi="Garamond"/>
          <w:sz w:val="19"/>
          <w:szCs w:val="19"/>
        </w:rPr>
      </w:pPr>
      <w:r w:rsidRPr="00CC2DB1">
        <w:rPr>
          <w:rFonts w:ascii="Garamond" w:hAnsi="Garamond"/>
          <w:sz w:val="19"/>
          <w:szCs w:val="19"/>
        </w:rPr>
        <w:t>Producing positive outcomes as measured by increased abstinence from alcohol and other drugs,  increased employment, decreased criminal justice involvement, and other indicators;</w:t>
      </w:r>
    </w:p>
    <w:p w:rsidR="00217B0F" w:rsidRDefault="00217B0F" w:rsidP="00217B0F">
      <w:pPr>
        <w:pStyle w:val="ListParagraph"/>
        <w:numPr>
          <w:ilvl w:val="0"/>
          <w:numId w:val="16"/>
        </w:numPr>
        <w:rPr>
          <w:rFonts w:ascii="Garamond" w:hAnsi="Garamond"/>
          <w:sz w:val="19"/>
          <w:szCs w:val="19"/>
        </w:rPr>
      </w:pPr>
      <w:r w:rsidRPr="00CC2DB1">
        <w:rPr>
          <w:rFonts w:ascii="Garamond" w:hAnsi="Garamond"/>
          <w:sz w:val="19"/>
          <w:szCs w:val="19"/>
        </w:rPr>
        <w:t xml:space="preserve">Improving States’ infrastructure and capacity; </w:t>
      </w:r>
    </w:p>
    <w:p w:rsidR="00CC2DB1" w:rsidRPr="00CC2DB1" w:rsidRDefault="00CC2DB1" w:rsidP="00CC2DB1">
      <w:pPr>
        <w:pStyle w:val="ListParagraph"/>
        <w:rPr>
          <w:rFonts w:ascii="Garamond" w:hAnsi="Garamond"/>
          <w:sz w:val="19"/>
          <w:szCs w:val="19"/>
        </w:rPr>
      </w:pPr>
    </w:p>
    <w:p w:rsidR="00632DC1" w:rsidRPr="00CC2DB1" w:rsidRDefault="00632DC1" w:rsidP="00632DC1">
      <w:pPr>
        <w:pStyle w:val="ListParagraph"/>
        <w:rPr>
          <w:rFonts w:ascii="Garamond" w:hAnsi="Garamond"/>
          <w:sz w:val="19"/>
          <w:szCs w:val="19"/>
        </w:rPr>
      </w:pPr>
    </w:p>
    <w:p w:rsidR="00632DC1" w:rsidRPr="00CC2DB1" w:rsidRDefault="009E475C" w:rsidP="00632DC1">
      <w:pPr>
        <w:pStyle w:val="ListParagraph"/>
        <w:numPr>
          <w:ilvl w:val="0"/>
          <w:numId w:val="16"/>
        </w:numPr>
        <w:rPr>
          <w:rFonts w:ascii="Garamond" w:hAnsi="Garamond"/>
          <w:sz w:val="19"/>
          <w:szCs w:val="19"/>
        </w:rPr>
      </w:pPr>
      <w:r w:rsidRPr="00CC2DB1">
        <w:rPr>
          <w:rFonts w:ascii="Garamond" w:hAnsi="Garamond"/>
          <w:noProof/>
          <w:sz w:val="19"/>
          <w:szCs w:val="19"/>
        </w:rPr>
        <w:lastRenderedPageBreak/>
        <mc:AlternateContent>
          <mc:Choice Requires="wps">
            <w:drawing>
              <wp:anchor distT="0" distB="0" distL="114300" distR="114300" simplePos="0" relativeHeight="251679744" behindDoc="0" locked="0" layoutInCell="1" allowOverlap="1" wp14:anchorId="226ECDBA" wp14:editId="0FD715CA">
                <wp:simplePos x="0" y="0"/>
                <wp:positionH relativeFrom="column">
                  <wp:posOffset>4008120</wp:posOffset>
                </wp:positionH>
                <wp:positionV relativeFrom="paragraph">
                  <wp:posOffset>-220298</wp:posOffset>
                </wp:positionV>
                <wp:extent cx="2374265" cy="1403985"/>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D3FC7" w:rsidRDefault="009E475C">
                            <w:r>
                              <w:rPr>
                                <w:noProof/>
                              </w:rPr>
                              <w:drawing>
                                <wp:inline distT="0" distB="0" distL="0" distR="0" wp14:anchorId="3239E6A6" wp14:editId="72522F7D">
                                  <wp:extent cx="2388358" cy="1992573"/>
                                  <wp:effectExtent l="0" t="0" r="12065"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6ECDBA" id="_x0000_s1028" type="#_x0000_t202" style="position:absolute;left:0;text-align:left;margin-left:315.6pt;margin-top:-17.3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7JAIAACM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" stroked="f">
                <v:textbox style="mso-fit-shape-to-text:t">
                  <w:txbxContent>
                    <w:p w:rsidR="005D3FC7" w:rsidRDefault="009E475C">
                      <w:r>
                        <w:rPr>
                          <w:noProof/>
                        </w:rPr>
                        <w:drawing>
                          <wp:inline distT="0" distB="0" distL="0" distR="0" wp14:anchorId="3239E6A6" wp14:editId="72522F7D">
                            <wp:extent cx="2388358" cy="1992573"/>
                            <wp:effectExtent l="0" t="0" r="12065"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217B0F" w:rsidRPr="00CC2DB1">
        <w:rPr>
          <w:rFonts w:ascii="Garamond" w:hAnsi="Garamond"/>
          <w:sz w:val="19"/>
          <w:szCs w:val="19"/>
        </w:rPr>
        <w:t xml:space="preserve">Fostering the development </w:t>
      </w:r>
      <w:r w:rsidR="00632DC1" w:rsidRPr="00CC2DB1">
        <w:rPr>
          <w:rFonts w:ascii="Garamond" w:hAnsi="Garamond"/>
          <w:sz w:val="19"/>
          <w:szCs w:val="19"/>
        </w:rPr>
        <w:t>and maintenance of State agency</w:t>
      </w:r>
    </w:p>
    <w:p w:rsidR="00447ACC" w:rsidRPr="00CC2DB1" w:rsidRDefault="00217B0F" w:rsidP="009E475C">
      <w:pPr>
        <w:pStyle w:val="ListParagraph"/>
        <w:rPr>
          <w:rFonts w:ascii="Garamond" w:hAnsi="Garamond"/>
          <w:sz w:val="19"/>
          <w:szCs w:val="19"/>
        </w:rPr>
      </w:pPr>
      <w:r w:rsidRPr="00CC2DB1">
        <w:rPr>
          <w:rFonts w:ascii="Garamond" w:hAnsi="Garamond"/>
          <w:sz w:val="19"/>
          <w:szCs w:val="19"/>
        </w:rPr>
        <w:t xml:space="preserve">collaboration; and </w:t>
      </w:r>
    </w:p>
    <w:p w:rsidR="00217B0F" w:rsidRPr="00CC2DB1" w:rsidRDefault="00217B0F" w:rsidP="00217B0F">
      <w:pPr>
        <w:pStyle w:val="ListParagraph"/>
        <w:numPr>
          <w:ilvl w:val="0"/>
          <w:numId w:val="16"/>
        </w:numPr>
        <w:rPr>
          <w:rFonts w:ascii="Garamond" w:hAnsi="Garamond"/>
          <w:sz w:val="19"/>
          <w:szCs w:val="19"/>
        </w:rPr>
      </w:pPr>
      <w:r w:rsidRPr="00CC2DB1">
        <w:rPr>
          <w:rFonts w:ascii="Garamond" w:hAnsi="Garamond"/>
          <w:sz w:val="19"/>
          <w:szCs w:val="19"/>
        </w:rPr>
        <w:t>Promoting effective planning, monitoring, and oversight.</w:t>
      </w:r>
      <w:r w:rsidR="009E475C" w:rsidRPr="00CC2DB1">
        <w:rPr>
          <w:rFonts w:ascii="Garamond" w:hAnsi="Garamond"/>
          <w:noProof/>
          <w:sz w:val="19"/>
          <w:szCs w:val="19"/>
        </w:rPr>
        <w:t xml:space="preserve"> </w:t>
      </w:r>
    </w:p>
    <w:p w:rsidR="00EC6296" w:rsidRPr="00CC2DB1" w:rsidRDefault="00EC6296" w:rsidP="00D05096">
      <w:pPr>
        <w:rPr>
          <w:rFonts w:ascii="Garamond" w:hAnsi="Garamond"/>
          <w:b/>
          <w:color w:val="5AA2AE" w:themeColor="accent5"/>
          <w:sz w:val="19"/>
          <w:szCs w:val="19"/>
        </w:rPr>
      </w:pPr>
    </w:p>
    <w:p w:rsidR="00D05096" w:rsidRPr="00CC2DB1" w:rsidRDefault="00CD70AF" w:rsidP="00EC6296">
      <w:pPr>
        <w:ind w:left="-90"/>
        <w:rPr>
          <w:rFonts w:ascii="Garamond" w:hAnsi="Garamond"/>
          <w:b/>
          <w:color w:val="5AA2AE" w:themeColor="accent5"/>
          <w:sz w:val="19"/>
          <w:szCs w:val="19"/>
        </w:rPr>
      </w:pPr>
      <w:r w:rsidRPr="00CC2DB1">
        <w:rPr>
          <w:rFonts w:ascii="Garamond" w:hAnsi="Garamond"/>
          <w:b/>
          <w:color w:val="5AA2AE" w:themeColor="accent5"/>
          <w:sz w:val="19"/>
          <w:szCs w:val="19"/>
        </w:rPr>
        <w:t xml:space="preserve">  </w:t>
      </w:r>
      <w:r w:rsidR="00D05096" w:rsidRPr="00CC2DB1">
        <w:rPr>
          <w:rFonts w:ascii="Garamond" w:hAnsi="Garamond"/>
          <w:b/>
          <w:color w:val="5AA2AE" w:themeColor="accent5"/>
          <w:sz w:val="19"/>
          <w:szCs w:val="19"/>
        </w:rPr>
        <w:t>Prevention Matters: SAPT Block Grant Prevention Set-Aside</w:t>
      </w:r>
    </w:p>
    <w:p w:rsidR="009E475C" w:rsidRPr="00CC2DB1" w:rsidRDefault="00D05096" w:rsidP="00D05096">
      <w:pPr>
        <w:rPr>
          <w:rFonts w:ascii="Garamond" w:hAnsi="Garamond"/>
          <w:sz w:val="19"/>
          <w:szCs w:val="19"/>
        </w:rPr>
      </w:pPr>
      <w:r w:rsidRPr="00CC2DB1">
        <w:rPr>
          <w:rFonts w:ascii="Garamond" w:hAnsi="Garamond"/>
          <w:sz w:val="19"/>
          <w:szCs w:val="19"/>
        </w:rPr>
        <w:t xml:space="preserve">Federal statute requires States to direct at least 20% of SAPT Block Grant funds </w:t>
      </w:r>
    </w:p>
    <w:p w:rsidR="009E475C" w:rsidRPr="00CC2DB1" w:rsidRDefault="00D05096" w:rsidP="00D05096">
      <w:pPr>
        <w:rPr>
          <w:rFonts w:ascii="Garamond" w:hAnsi="Garamond"/>
          <w:sz w:val="19"/>
          <w:szCs w:val="19"/>
        </w:rPr>
      </w:pPr>
      <w:r w:rsidRPr="00CC2DB1">
        <w:rPr>
          <w:rFonts w:ascii="Garamond" w:hAnsi="Garamond"/>
          <w:sz w:val="19"/>
          <w:szCs w:val="19"/>
        </w:rPr>
        <w:t xml:space="preserve">toward primary prevention of substance abuse. This “prevention set-aside” is </w:t>
      </w:r>
    </w:p>
    <w:p w:rsidR="009E475C" w:rsidRPr="00CC2DB1" w:rsidRDefault="00D05096" w:rsidP="00D05096">
      <w:pPr>
        <w:rPr>
          <w:rFonts w:ascii="Garamond" w:hAnsi="Garamond"/>
          <w:sz w:val="19"/>
          <w:szCs w:val="19"/>
        </w:rPr>
      </w:pPr>
      <w:r w:rsidRPr="00CC2DB1">
        <w:rPr>
          <w:rFonts w:ascii="Garamond" w:hAnsi="Garamond"/>
          <w:sz w:val="19"/>
          <w:szCs w:val="19"/>
        </w:rPr>
        <w:t xml:space="preserve">managed by the Center for Substance Abuse Prevention (CSAP) </w:t>
      </w:r>
      <w:r w:rsidR="00A41FA7" w:rsidRPr="00CC2DB1">
        <w:rPr>
          <w:rFonts w:ascii="Garamond" w:hAnsi="Garamond"/>
          <w:sz w:val="19"/>
          <w:szCs w:val="19"/>
        </w:rPr>
        <w:t>with</w:t>
      </w:r>
      <w:r w:rsidRPr="00CC2DB1">
        <w:rPr>
          <w:rFonts w:ascii="Garamond" w:hAnsi="Garamond"/>
          <w:sz w:val="19"/>
          <w:szCs w:val="19"/>
        </w:rPr>
        <w:t xml:space="preserve">in SAMHSA, </w:t>
      </w:r>
    </w:p>
    <w:p w:rsidR="009E475C" w:rsidRPr="00CC2DB1" w:rsidRDefault="00D05096" w:rsidP="00D05096">
      <w:pPr>
        <w:rPr>
          <w:rFonts w:ascii="Garamond" w:hAnsi="Garamond"/>
          <w:b/>
          <w:sz w:val="19"/>
          <w:szCs w:val="19"/>
        </w:rPr>
      </w:pPr>
      <w:r w:rsidRPr="00CC2DB1">
        <w:rPr>
          <w:rFonts w:ascii="Garamond" w:hAnsi="Garamond"/>
          <w:sz w:val="19"/>
          <w:szCs w:val="19"/>
        </w:rPr>
        <w:t xml:space="preserve">and is a core component of each State’s prevention system. On average, </w:t>
      </w:r>
      <w:r w:rsidRPr="00CC2DB1">
        <w:rPr>
          <w:rFonts w:ascii="Garamond" w:hAnsi="Garamond"/>
          <w:b/>
          <w:sz w:val="19"/>
          <w:szCs w:val="19"/>
        </w:rPr>
        <w:t xml:space="preserve">SAPT </w:t>
      </w:r>
    </w:p>
    <w:p w:rsidR="009E475C" w:rsidRPr="00CC2DB1" w:rsidRDefault="00D05096" w:rsidP="00D05096">
      <w:pPr>
        <w:rPr>
          <w:rFonts w:ascii="Garamond" w:hAnsi="Garamond"/>
          <w:b/>
          <w:sz w:val="19"/>
          <w:szCs w:val="19"/>
        </w:rPr>
      </w:pPr>
      <w:r w:rsidRPr="00CC2DB1">
        <w:rPr>
          <w:rFonts w:ascii="Garamond" w:hAnsi="Garamond"/>
          <w:b/>
          <w:sz w:val="19"/>
          <w:szCs w:val="19"/>
        </w:rPr>
        <w:t>Block Grant funds make up 6</w:t>
      </w:r>
      <w:r w:rsidR="00A41FA7" w:rsidRPr="00CC2DB1">
        <w:rPr>
          <w:rFonts w:ascii="Garamond" w:hAnsi="Garamond"/>
          <w:b/>
          <w:sz w:val="19"/>
          <w:szCs w:val="19"/>
        </w:rPr>
        <w:t>5</w:t>
      </w:r>
      <w:r w:rsidRPr="00CC2DB1">
        <w:rPr>
          <w:rFonts w:ascii="Garamond" w:hAnsi="Garamond"/>
          <w:b/>
          <w:sz w:val="19"/>
          <w:szCs w:val="19"/>
        </w:rPr>
        <w:t xml:space="preserve">% of primary prevention funding in States </w:t>
      </w:r>
    </w:p>
    <w:p w:rsidR="009E475C" w:rsidRPr="00CC2DB1" w:rsidRDefault="00D05096" w:rsidP="00D05096">
      <w:pPr>
        <w:rPr>
          <w:rFonts w:ascii="Garamond" w:hAnsi="Garamond"/>
          <w:sz w:val="19"/>
          <w:szCs w:val="19"/>
        </w:rPr>
      </w:pPr>
      <w:r w:rsidRPr="00CC2DB1">
        <w:rPr>
          <w:rFonts w:ascii="Garamond" w:hAnsi="Garamond"/>
          <w:b/>
          <w:sz w:val="19"/>
          <w:szCs w:val="19"/>
        </w:rPr>
        <w:t>and Territories</w:t>
      </w:r>
      <w:r w:rsidRPr="00CC2DB1">
        <w:rPr>
          <w:rFonts w:ascii="Garamond" w:hAnsi="Garamond"/>
          <w:sz w:val="19"/>
          <w:szCs w:val="19"/>
        </w:rPr>
        <w:t xml:space="preserve">. In </w:t>
      </w:r>
      <w:r w:rsidR="00A41FA7" w:rsidRPr="00CC2DB1">
        <w:rPr>
          <w:rFonts w:ascii="Garamond" w:hAnsi="Garamond"/>
          <w:sz w:val="19"/>
          <w:szCs w:val="19"/>
        </w:rPr>
        <w:t>18</w:t>
      </w:r>
      <w:r w:rsidRPr="00CC2DB1">
        <w:rPr>
          <w:rFonts w:ascii="Garamond" w:hAnsi="Garamond"/>
          <w:sz w:val="19"/>
          <w:szCs w:val="19"/>
        </w:rPr>
        <w:t xml:space="preserve"> States</w:t>
      </w:r>
      <w:r w:rsidR="00A41FA7" w:rsidRPr="00CC2DB1">
        <w:rPr>
          <w:rFonts w:ascii="Garamond" w:hAnsi="Garamond"/>
          <w:sz w:val="19"/>
          <w:szCs w:val="19"/>
        </w:rPr>
        <w:t>,</w:t>
      </w:r>
      <w:r w:rsidRPr="00CC2DB1">
        <w:rPr>
          <w:rFonts w:ascii="Garamond" w:hAnsi="Garamond"/>
          <w:sz w:val="19"/>
          <w:szCs w:val="19"/>
        </w:rPr>
        <w:t xml:space="preserve"> the prevention set-aside represents 75% or more </w:t>
      </w:r>
    </w:p>
    <w:p w:rsidR="009E475C" w:rsidRPr="00CC2DB1" w:rsidRDefault="00D05096" w:rsidP="00D05096">
      <w:pPr>
        <w:rPr>
          <w:rFonts w:ascii="Garamond" w:hAnsi="Garamond"/>
          <w:sz w:val="19"/>
          <w:szCs w:val="19"/>
        </w:rPr>
      </w:pPr>
      <w:r w:rsidRPr="00CC2DB1">
        <w:rPr>
          <w:rFonts w:ascii="Garamond" w:hAnsi="Garamond"/>
          <w:sz w:val="19"/>
          <w:szCs w:val="19"/>
        </w:rPr>
        <w:t>of the State agency’s substan</w:t>
      </w:r>
      <w:r w:rsidR="00A41FA7" w:rsidRPr="00CC2DB1">
        <w:rPr>
          <w:rFonts w:ascii="Garamond" w:hAnsi="Garamond"/>
          <w:sz w:val="19"/>
          <w:szCs w:val="19"/>
        </w:rPr>
        <w:t>ce abuse prevention budget. In 4</w:t>
      </w:r>
      <w:r w:rsidRPr="00CC2DB1">
        <w:rPr>
          <w:rFonts w:ascii="Garamond" w:hAnsi="Garamond"/>
          <w:sz w:val="19"/>
          <w:szCs w:val="19"/>
        </w:rPr>
        <w:t xml:space="preserve"> of those States, the </w:t>
      </w:r>
    </w:p>
    <w:p w:rsidR="00D05096" w:rsidRPr="00CC2DB1" w:rsidRDefault="00D05096" w:rsidP="00D05096">
      <w:pPr>
        <w:rPr>
          <w:rFonts w:ascii="Garamond" w:hAnsi="Garamond"/>
          <w:sz w:val="19"/>
          <w:szCs w:val="19"/>
        </w:rPr>
      </w:pPr>
      <w:r w:rsidRPr="00CC2DB1">
        <w:rPr>
          <w:rFonts w:ascii="Garamond" w:hAnsi="Garamond"/>
          <w:sz w:val="19"/>
          <w:szCs w:val="19"/>
        </w:rPr>
        <w:t>prevention set-aside represents 100% of the State’s primary prevention funding.</w:t>
      </w:r>
    </w:p>
    <w:p w:rsidR="00574A66" w:rsidRPr="00CC2DB1" w:rsidRDefault="00574A66" w:rsidP="00D05096">
      <w:pPr>
        <w:rPr>
          <w:rFonts w:ascii="Garamond" w:hAnsi="Garamond"/>
          <w:sz w:val="19"/>
          <w:szCs w:val="19"/>
        </w:rPr>
      </w:pPr>
    </w:p>
    <w:p w:rsidR="00574A66" w:rsidRPr="00CC2DB1" w:rsidRDefault="00574A66" w:rsidP="00D05096">
      <w:pPr>
        <w:rPr>
          <w:rFonts w:ascii="Garamond" w:hAnsi="Garamond"/>
          <w:b/>
          <w:color w:val="5AA2AE" w:themeColor="accent5"/>
          <w:sz w:val="19"/>
          <w:szCs w:val="19"/>
        </w:rPr>
      </w:pPr>
      <w:r w:rsidRPr="00CC2DB1">
        <w:rPr>
          <w:rFonts w:ascii="Garamond" w:hAnsi="Garamond"/>
          <w:b/>
          <w:color w:val="5AA2AE" w:themeColor="accent5"/>
          <w:sz w:val="19"/>
          <w:szCs w:val="19"/>
        </w:rPr>
        <w:t>SAPT Block Grant and Vulnerable Populations</w:t>
      </w:r>
    </w:p>
    <w:p w:rsidR="00ED4D1E" w:rsidRPr="00CC2DB1" w:rsidRDefault="00574A66" w:rsidP="00D05096">
      <w:pPr>
        <w:rPr>
          <w:rFonts w:ascii="Garamond" w:hAnsi="Garamond"/>
          <w:sz w:val="19"/>
          <w:szCs w:val="19"/>
        </w:rPr>
      </w:pPr>
      <w:r w:rsidRPr="00CC2DB1">
        <w:rPr>
          <w:rFonts w:ascii="Garamond" w:hAnsi="Garamond"/>
          <w:sz w:val="19"/>
          <w:szCs w:val="19"/>
        </w:rPr>
        <w:t>States using SAPT Block Grant funds must provide additional protections and/or funding for certain vulnerable populations that are identified in statute.</w:t>
      </w:r>
      <w:r w:rsidR="000062EB" w:rsidRPr="00CC2DB1">
        <w:rPr>
          <w:rFonts w:ascii="Garamond" w:hAnsi="Garamond"/>
          <w:sz w:val="19"/>
          <w:szCs w:val="19"/>
        </w:rPr>
        <w:t xml:space="preserve"> Priority populations include: pregnant and parenting women, injection drug users, individuals with HIV/AIDS, and individuals with tuberculosis (TB). </w:t>
      </w:r>
    </w:p>
    <w:p w:rsidR="00ED4D1E" w:rsidRPr="00CC2DB1" w:rsidRDefault="00ED4D1E" w:rsidP="00D05096">
      <w:pPr>
        <w:rPr>
          <w:rFonts w:ascii="Garamond" w:hAnsi="Garamond"/>
          <w:i/>
          <w:sz w:val="19"/>
          <w:szCs w:val="19"/>
        </w:rPr>
      </w:pPr>
    </w:p>
    <w:p w:rsidR="00ED4D1E" w:rsidRPr="00CC2DB1" w:rsidRDefault="00ED4D1E" w:rsidP="00D05096">
      <w:pPr>
        <w:rPr>
          <w:rFonts w:ascii="Garamond" w:hAnsi="Garamond"/>
          <w:i/>
          <w:color w:val="5AA2AE" w:themeColor="accent5"/>
          <w:sz w:val="19"/>
          <w:szCs w:val="19"/>
        </w:rPr>
      </w:pPr>
      <w:r w:rsidRPr="00CC2DB1">
        <w:rPr>
          <w:rFonts w:ascii="Garamond" w:hAnsi="Garamond"/>
          <w:i/>
          <w:color w:val="5AA2AE" w:themeColor="accent5"/>
          <w:sz w:val="19"/>
          <w:szCs w:val="19"/>
        </w:rPr>
        <w:t>Pregnant and Parenting Women</w:t>
      </w:r>
    </w:p>
    <w:p w:rsidR="00574A66" w:rsidRPr="00CC2DB1" w:rsidRDefault="000062EB" w:rsidP="00D05096">
      <w:pPr>
        <w:rPr>
          <w:rFonts w:ascii="Garamond" w:hAnsi="Garamond"/>
          <w:sz w:val="19"/>
          <w:szCs w:val="19"/>
        </w:rPr>
      </w:pPr>
      <w:r w:rsidRPr="00CC2DB1">
        <w:rPr>
          <w:rFonts w:ascii="Garamond" w:hAnsi="Garamond"/>
          <w:sz w:val="19"/>
          <w:szCs w:val="19"/>
        </w:rPr>
        <w:t>Pregnant women must be given priority in treatment admissions, and those that are referred to the State for treatment must be placed within a program or have interim arrangements made within 48 hours. Further, States are required to allocate a dedicated amount of SAPT Block Grant funds to support pregnant and parenting women.</w:t>
      </w:r>
      <w:r w:rsidR="000060E5" w:rsidRPr="00CC2DB1">
        <w:rPr>
          <w:rFonts w:ascii="Garamond" w:hAnsi="Garamond"/>
          <w:sz w:val="19"/>
          <w:szCs w:val="19"/>
        </w:rPr>
        <w:t xml:space="preserve"> </w:t>
      </w:r>
    </w:p>
    <w:p w:rsidR="00ED4D1E" w:rsidRPr="00CC2DB1" w:rsidRDefault="00ED4D1E" w:rsidP="00D05096">
      <w:pPr>
        <w:rPr>
          <w:rFonts w:ascii="Garamond" w:hAnsi="Garamond"/>
          <w:sz w:val="19"/>
          <w:szCs w:val="19"/>
        </w:rPr>
      </w:pPr>
    </w:p>
    <w:p w:rsidR="00ED4D1E" w:rsidRPr="00CC2DB1" w:rsidRDefault="006D01D7" w:rsidP="00D05096">
      <w:pPr>
        <w:rPr>
          <w:rFonts w:ascii="Garamond" w:hAnsi="Garamond"/>
          <w:i/>
          <w:color w:val="5AA2AE" w:themeColor="accent5"/>
          <w:sz w:val="19"/>
          <w:szCs w:val="19"/>
        </w:rPr>
      </w:pPr>
      <w:r>
        <w:rPr>
          <w:rFonts w:ascii="Garamond" w:hAnsi="Garamond"/>
          <w:i/>
          <w:color w:val="5AA2AE" w:themeColor="accent5"/>
          <w:sz w:val="19"/>
          <w:szCs w:val="19"/>
        </w:rPr>
        <w:t>Persons Who Inject Drugs</w:t>
      </w:r>
    </w:p>
    <w:p w:rsidR="00ED4D1E" w:rsidRPr="00CC2DB1" w:rsidRDefault="00ED4D1E" w:rsidP="00D05096">
      <w:pPr>
        <w:rPr>
          <w:rFonts w:ascii="Garamond" w:hAnsi="Garamond"/>
          <w:sz w:val="19"/>
          <w:szCs w:val="19"/>
        </w:rPr>
      </w:pPr>
      <w:r w:rsidRPr="00CC2DB1">
        <w:rPr>
          <w:rFonts w:ascii="Garamond" w:hAnsi="Garamond"/>
          <w:sz w:val="19"/>
          <w:szCs w:val="19"/>
        </w:rPr>
        <w:t xml:space="preserve">SAPT Block Grant funded treatment programs that serve </w:t>
      </w:r>
      <w:r w:rsidR="006D01D7">
        <w:rPr>
          <w:rFonts w:ascii="Garamond" w:hAnsi="Garamond"/>
          <w:sz w:val="19"/>
          <w:szCs w:val="19"/>
        </w:rPr>
        <w:t>persons who inject drugs</w:t>
      </w:r>
      <w:r w:rsidRPr="00CC2DB1">
        <w:rPr>
          <w:rFonts w:ascii="Garamond" w:hAnsi="Garamond"/>
          <w:sz w:val="19"/>
          <w:szCs w:val="19"/>
        </w:rPr>
        <w:t xml:space="preserve"> must keep the State informed about their admissions capacity</w:t>
      </w:r>
      <w:r w:rsidR="00D263A6" w:rsidRPr="00CC2DB1">
        <w:rPr>
          <w:rFonts w:ascii="Garamond" w:hAnsi="Garamond"/>
          <w:sz w:val="19"/>
          <w:szCs w:val="19"/>
        </w:rPr>
        <w:t>. This allows the State to monitor whether individuals are placed into treatment in a timely manner or provided with interim services if an opening is temporarily unavailable.</w:t>
      </w:r>
      <w:r w:rsidRPr="00CC2DB1">
        <w:rPr>
          <w:rFonts w:ascii="Garamond" w:hAnsi="Garamond"/>
          <w:sz w:val="19"/>
          <w:szCs w:val="19"/>
        </w:rPr>
        <w:t xml:space="preserve"> </w:t>
      </w:r>
    </w:p>
    <w:p w:rsidR="00ED4D1E" w:rsidRPr="00CC2DB1" w:rsidRDefault="00ED4D1E" w:rsidP="00D05096">
      <w:pPr>
        <w:rPr>
          <w:rFonts w:ascii="Garamond" w:hAnsi="Garamond"/>
          <w:sz w:val="19"/>
          <w:szCs w:val="19"/>
        </w:rPr>
      </w:pPr>
    </w:p>
    <w:p w:rsidR="00ED4D1E" w:rsidRPr="00CC2DB1" w:rsidRDefault="00ED4D1E" w:rsidP="00D05096">
      <w:pPr>
        <w:rPr>
          <w:rFonts w:ascii="Garamond" w:hAnsi="Garamond"/>
          <w:i/>
          <w:color w:val="5AA2AE" w:themeColor="accent5"/>
          <w:sz w:val="19"/>
          <w:szCs w:val="19"/>
        </w:rPr>
      </w:pPr>
      <w:r w:rsidRPr="00CC2DB1">
        <w:rPr>
          <w:rFonts w:ascii="Garamond" w:hAnsi="Garamond"/>
          <w:i/>
          <w:color w:val="5AA2AE" w:themeColor="accent5"/>
          <w:sz w:val="19"/>
          <w:szCs w:val="19"/>
        </w:rPr>
        <w:t>Individuals with HIV/AIDS</w:t>
      </w:r>
    </w:p>
    <w:p w:rsidR="00ED4D1E" w:rsidRPr="00CC2DB1" w:rsidRDefault="00D263A6" w:rsidP="00D05096">
      <w:pPr>
        <w:rPr>
          <w:rFonts w:ascii="Garamond" w:hAnsi="Garamond"/>
          <w:sz w:val="19"/>
          <w:szCs w:val="19"/>
        </w:rPr>
      </w:pPr>
      <w:r w:rsidRPr="00CC2DB1">
        <w:rPr>
          <w:rFonts w:ascii="Garamond" w:hAnsi="Garamond"/>
          <w:sz w:val="19"/>
          <w:szCs w:val="19"/>
        </w:rPr>
        <w:t>For States with HIV infection rates of 10 or more per 100,000, early HIV intervention services must be provided to individuals undergoing substance use disorder treatment. These services are to be available in the areas of the State with the highest disease burden.</w:t>
      </w:r>
      <w:r w:rsidR="00753EBB" w:rsidRPr="00CC2DB1">
        <w:rPr>
          <w:rFonts w:ascii="Garamond" w:hAnsi="Garamond"/>
          <w:sz w:val="19"/>
          <w:szCs w:val="19"/>
        </w:rPr>
        <w:t xml:space="preserve"> Early intervention services include pre-testing counseling, testing, post-testing counseling, and appropriate treatment.</w:t>
      </w:r>
    </w:p>
    <w:p w:rsidR="00D263A6" w:rsidRPr="00CC2DB1" w:rsidRDefault="00D263A6" w:rsidP="00D05096">
      <w:pPr>
        <w:rPr>
          <w:rFonts w:ascii="Garamond" w:hAnsi="Garamond"/>
          <w:i/>
          <w:color w:val="5AA2AE" w:themeColor="accent5"/>
          <w:sz w:val="19"/>
          <w:szCs w:val="19"/>
        </w:rPr>
      </w:pPr>
    </w:p>
    <w:p w:rsidR="00ED4D1E" w:rsidRPr="00CC2DB1" w:rsidRDefault="00ED4D1E" w:rsidP="00D05096">
      <w:pPr>
        <w:rPr>
          <w:rFonts w:ascii="Garamond" w:hAnsi="Garamond"/>
          <w:i/>
          <w:color w:val="5AA2AE" w:themeColor="accent5"/>
          <w:sz w:val="19"/>
          <w:szCs w:val="19"/>
        </w:rPr>
      </w:pPr>
      <w:r w:rsidRPr="00CC2DB1">
        <w:rPr>
          <w:rFonts w:ascii="Garamond" w:hAnsi="Garamond"/>
          <w:i/>
          <w:color w:val="5AA2AE" w:themeColor="accent5"/>
          <w:sz w:val="19"/>
          <w:szCs w:val="19"/>
        </w:rPr>
        <w:t>Individuals with Tuberculosis (TB)</w:t>
      </w:r>
    </w:p>
    <w:p w:rsidR="00ED4D1E" w:rsidRPr="00CC2DB1" w:rsidRDefault="00CC2DB1" w:rsidP="00D05096">
      <w:pPr>
        <w:rPr>
          <w:rFonts w:ascii="Garamond" w:hAnsi="Garamond"/>
          <w:i/>
          <w:sz w:val="19"/>
          <w:szCs w:val="19"/>
        </w:rPr>
      </w:pPr>
      <w:r w:rsidRPr="00CC2DB1">
        <w:rPr>
          <w:rFonts w:ascii="Garamond" w:hAnsi="Garamond" w:cs="Times New Roman"/>
          <w:b/>
          <w:noProof/>
          <w:color w:val="5AA2AE" w:themeColor="accent5"/>
          <w:sz w:val="19"/>
          <w:szCs w:val="19"/>
        </w:rPr>
        <mc:AlternateContent>
          <mc:Choice Requires="wps">
            <w:drawing>
              <wp:anchor distT="0" distB="0" distL="114300" distR="114300" simplePos="0" relativeHeight="251677696" behindDoc="0" locked="0" layoutInCell="1" allowOverlap="1" wp14:anchorId="496BA938" wp14:editId="4247A415">
                <wp:simplePos x="0" y="0"/>
                <wp:positionH relativeFrom="column">
                  <wp:posOffset>-53340</wp:posOffset>
                </wp:positionH>
                <wp:positionV relativeFrom="paragraph">
                  <wp:posOffset>368300</wp:posOffset>
                </wp:positionV>
                <wp:extent cx="6632575" cy="2401570"/>
                <wp:effectExtent l="0" t="0" r="15875"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2401570"/>
                        </a:xfrm>
                        <a:prstGeom prst="rect">
                          <a:avLst/>
                        </a:prstGeom>
                        <a:solidFill>
                          <a:schemeClr val="accent1">
                            <a:lumMod val="20000"/>
                            <a:lumOff val="80000"/>
                          </a:schemeClr>
                        </a:solidFill>
                        <a:ln w="19050">
                          <a:solidFill>
                            <a:schemeClr val="accent5"/>
                          </a:solidFill>
                          <a:miter lim="800000"/>
                          <a:headEnd/>
                          <a:tailEnd/>
                        </a:ln>
                      </wps:spPr>
                      <wps:txbx>
                        <w:txbxContent>
                          <w:p w:rsidR="00BF7E11" w:rsidRPr="00CC2DB1" w:rsidRDefault="00F8406C" w:rsidP="00A05D9A">
                            <w:pPr>
                              <w:rPr>
                                <w:rFonts w:ascii="Garamond" w:hAnsi="Garamond"/>
                                <w:b/>
                                <w:i/>
                                <w:sz w:val="18"/>
                                <w:szCs w:val="18"/>
                              </w:rPr>
                            </w:pPr>
                            <w:r w:rsidRPr="00CC2DB1">
                              <w:rPr>
                                <w:rFonts w:ascii="Garamond" w:hAnsi="Garamond"/>
                                <w:b/>
                                <w:i/>
                                <w:sz w:val="18"/>
                                <w:szCs w:val="18"/>
                              </w:rPr>
                              <w:t xml:space="preserve">SAPT Block Grant Funds Treatment Services: Prescription Drug and Heroin Use on the Rise </w:t>
                            </w:r>
                            <w:r w:rsidR="00A41FA7" w:rsidRPr="00CC2DB1">
                              <w:rPr>
                                <w:rFonts w:ascii="Garamond" w:hAnsi="Garamond"/>
                                <w:b/>
                                <w:i/>
                                <w:sz w:val="18"/>
                                <w:szCs w:val="18"/>
                              </w:rPr>
                              <w:t>(TEDS, 2014</w:t>
                            </w:r>
                            <w:r w:rsidR="0003368C" w:rsidRPr="00CC2DB1">
                              <w:rPr>
                                <w:rFonts w:ascii="Garamond" w:hAnsi="Garamond"/>
                                <w:b/>
                                <w:i/>
                                <w:sz w:val="18"/>
                                <w:szCs w:val="18"/>
                              </w:rPr>
                              <w:t>)</w:t>
                            </w:r>
                          </w:p>
                          <w:p w:rsidR="0003368C" w:rsidRPr="00CC2DB1" w:rsidRDefault="00F8406C">
                            <w:pPr>
                              <w:rPr>
                                <w:rFonts w:ascii="Garamond" w:hAnsi="Garamond"/>
                                <w:sz w:val="18"/>
                                <w:szCs w:val="16"/>
                              </w:rPr>
                            </w:pPr>
                            <w:r w:rsidRPr="00CC2DB1">
                              <w:rPr>
                                <w:rFonts w:ascii="Garamond" w:hAnsi="Garamond"/>
                                <w:sz w:val="18"/>
                                <w:szCs w:val="16"/>
                              </w:rPr>
                              <w:t xml:space="preserve">As </w:t>
                            </w:r>
                            <w:r w:rsidR="005D3FC7" w:rsidRPr="00CC2DB1">
                              <w:rPr>
                                <w:rFonts w:ascii="Garamond" w:hAnsi="Garamond"/>
                                <w:sz w:val="18"/>
                                <w:szCs w:val="16"/>
                              </w:rPr>
                              <w:t>noted</w:t>
                            </w:r>
                            <w:r w:rsidRPr="00CC2DB1">
                              <w:rPr>
                                <w:rFonts w:ascii="Garamond" w:hAnsi="Garamond"/>
                                <w:sz w:val="18"/>
                                <w:szCs w:val="16"/>
                              </w:rPr>
                              <w:t xml:space="preserve"> below, </w:t>
                            </w:r>
                            <w:r w:rsidR="00810062" w:rsidRPr="00CC2DB1">
                              <w:rPr>
                                <w:rFonts w:ascii="Garamond" w:hAnsi="Garamond"/>
                                <w:sz w:val="18"/>
                                <w:szCs w:val="16"/>
                              </w:rPr>
                              <w:t xml:space="preserve">almost </w:t>
                            </w:r>
                            <w:r w:rsidRPr="00CC2DB1">
                              <w:rPr>
                                <w:rFonts w:ascii="Garamond" w:hAnsi="Garamond"/>
                                <w:sz w:val="18"/>
                                <w:szCs w:val="16"/>
                              </w:rPr>
                              <w:t>one-</w:t>
                            </w:r>
                            <w:r w:rsidR="00810062" w:rsidRPr="00CC2DB1">
                              <w:rPr>
                                <w:rFonts w:ascii="Garamond" w:hAnsi="Garamond"/>
                                <w:sz w:val="18"/>
                                <w:szCs w:val="16"/>
                              </w:rPr>
                              <w:t>third (30.3</w:t>
                            </w:r>
                            <w:r w:rsidRPr="00CC2DB1">
                              <w:rPr>
                                <w:rFonts w:ascii="Garamond" w:hAnsi="Garamond"/>
                                <w:sz w:val="18"/>
                                <w:szCs w:val="16"/>
                              </w:rPr>
                              <w:t>%) of individuals admitt</w:t>
                            </w:r>
                            <w:r w:rsidR="00810062" w:rsidRPr="00CC2DB1">
                              <w:rPr>
                                <w:rFonts w:ascii="Garamond" w:hAnsi="Garamond"/>
                                <w:sz w:val="18"/>
                                <w:szCs w:val="16"/>
                              </w:rPr>
                              <w:t>ed to treatment in the publicly-</w:t>
                            </w:r>
                            <w:r w:rsidRPr="00CC2DB1">
                              <w:rPr>
                                <w:rFonts w:ascii="Garamond" w:hAnsi="Garamond"/>
                                <w:sz w:val="18"/>
                                <w:szCs w:val="16"/>
                              </w:rPr>
                              <w:t xml:space="preserve">funded system cited heroin or prescription opioids as their primary substance of use. </w:t>
                            </w:r>
                            <w:r w:rsidR="00810062" w:rsidRPr="00CC2DB1">
                              <w:rPr>
                                <w:rFonts w:ascii="Garamond" w:hAnsi="Garamond"/>
                                <w:sz w:val="18"/>
                                <w:szCs w:val="16"/>
                              </w:rPr>
                              <w:t xml:space="preserve">In 2014, admissions for heroin addiction exceeded admissions for alcohol alone </w:t>
                            </w:r>
                            <w:r w:rsidR="005D3FC7" w:rsidRPr="00CC2DB1">
                              <w:rPr>
                                <w:rFonts w:ascii="Garamond" w:hAnsi="Garamond"/>
                                <w:sz w:val="18"/>
                                <w:szCs w:val="16"/>
                              </w:rPr>
                              <w:t xml:space="preserve">as primary substance of </w:t>
                            </w:r>
                            <w:r w:rsidR="00810062" w:rsidRPr="00CC2DB1">
                              <w:rPr>
                                <w:rFonts w:ascii="Garamond" w:hAnsi="Garamond"/>
                                <w:sz w:val="18"/>
                                <w:szCs w:val="16"/>
                              </w:rPr>
                              <w:t>use</w:t>
                            </w:r>
                            <w:r w:rsidRPr="00CC2DB1">
                              <w:rPr>
                                <w:rFonts w:ascii="Garamond" w:hAnsi="Garamond"/>
                                <w:sz w:val="18"/>
                                <w:szCs w:val="16"/>
                              </w:rPr>
                              <w:t xml:space="preserve">. According to NASADAD data, </w:t>
                            </w:r>
                            <w:r w:rsidR="00810062" w:rsidRPr="00CC2DB1">
                              <w:rPr>
                                <w:rFonts w:ascii="Garamond" w:hAnsi="Garamond"/>
                                <w:sz w:val="18"/>
                                <w:szCs w:val="16"/>
                              </w:rPr>
                              <w:t>in 2015</w:t>
                            </w:r>
                            <w:r w:rsidR="005332C1" w:rsidRPr="00CC2DB1">
                              <w:rPr>
                                <w:rFonts w:ascii="Garamond" w:hAnsi="Garamond"/>
                                <w:sz w:val="18"/>
                                <w:szCs w:val="16"/>
                              </w:rPr>
                              <w:t>,</w:t>
                            </w:r>
                            <w:r w:rsidRPr="00CC2DB1">
                              <w:rPr>
                                <w:rFonts w:ascii="Garamond" w:hAnsi="Garamond"/>
                                <w:sz w:val="18"/>
                                <w:szCs w:val="16"/>
                              </w:rPr>
                              <w:t xml:space="preserve"> 3</w:t>
                            </w:r>
                            <w:r w:rsidR="00810062" w:rsidRPr="00CC2DB1">
                              <w:rPr>
                                <w:rFonts w:ascii="Garamond" w:hAnsi="Garamond"/>
                                <w:sz w:val="18"/>
                                <w:szCs w:val="16"/>
                              </w:rPr>
                              <w:t>9</w:t>
                            </w:r>
                            <w:r w:rsidRPr="00CC2DB1">
                              <w:rPr>
                                <w:rFonts w:ascii="Garamond" w:hAnsi="Garamond"/>
                                <w:sz w:val="18"/>
                                <w:szCs w:val="16"/>
                              </w:rPr>
                              <w:t xml:space="preserve"> States reported an increase in treatment admissions for heroin. In addition to the troubling increase in treatment admissions, opioid overdose deaths ha</w:t>
                            </w:r>
                            <w:r w:rsidR="00810062" w:rsidRPr="00CC2DB1">
                              <w:rPr>
                                <w:rFonts w:ascii="Garamond" w:hAnsi="Garamond"/>
                                <w:sz w:val="18"/>
                                <w:szCs w:val="16"/>
                              </w:rPr>
                              <w:t>ve also been on the rise—in 2015</w:t>
                            </w:r>
                            <w:r w:rsidR="00022D58" w:rsidRPr="00CC2DB1">
                              <w:rPr>
                                <w:rFonts w:ascii="Garamond" w:hAnsi="Garamond"/>
                                <w:sz w:val="18"/>
                                <w:szCs w:val="16"/>
                              </w:rPr>
                              <w:t xml:space="preserve">, </w:t>
                            </w:r>
                            <w:r w:rsidR="00810062" w:rsidRPr="00CC2DB1">
                              <w:rPr>
                                <w:rFonts w:ascii="Garamond" w:hAnsi="Garamond"/>
                                <w:sz w:val="18"/>
                                <w:szCs w:val="16"/>
                              </w:rPr>
                              <w:t>over</w:t>
                            </w:r>
                            <w:r w:rsidR="00022D58" w:rsidRPr="00CC2DB1">
                              <w:rPr>
                                <w:rFonts w:ascii="Garamond" w:hAnsi="Garamond"/>
                                <w:sz w:val="18"/>
                                <w:szCs w:val="16"/>
                              </w:rPr>
                              <w:t xml:space="preserve"> </w:t>
                            </w:r>
                            <w:r w:rsidR="00810062" w:rsidRPr="00CC2DB1">
                              <w:rPr>
                                <w:rFonts w:ascii="Garamond" w:hAnsi="Garamond"/>
                                <w:sz w:val="18"/>
                                <w:szCs w:val="16"/>
                              </w:rPr>
                              <w:t>33</w:t>
                            </w:r>
                            <w:r w:rsidRPr="00CC2DB1">
                              <w:rPr>
                                <w:rFonts w:ascii="Garamond" w:hAnsi="Garamond"/>
                                <w:sz w:val="18"/>
                                <w:szCs w:val="16"/>
                              </w:rPr>
                              <w:t xml:space="preserve">,000 Americans lost their lives to a prescription opioid </w:t>
                            </w:r>
                            <w:r w:rsidR="00810062" w:rsidRPr="00CC2DB1">
                              <w:rPr>
                                <w:rFonts w:ascii="Garamond" w:hAnsi="Garamond"/>
                                <w:sz w:val="18"/>
                                <w:szCs w:val="16"/>
                              </w:rPr>
                              <w:t>or</w:t>
                            </w:r>
                            <w:r w:rsidRPr="00CC2DB1">
                              <w:rPr>
                                <w:rFonts w:ascii="Garamond" w:hAnsi="Garamond"/>
                                <w:sz w:val="18"/>
                                <w:szCs w:val="16"/>
                              </w:rPr>
                              <w:t xml:space="preserve"> heroin overdose.</w:t>
                            </w:r>
                          </w:p>
                          <w:p w:rsidR="00121EC5" w:rsidRPr="00121EC5" w:rsidRDefault="00121EC5">
                            <w:pPr>
                              <w:rPr>
                                <w:rFonts w:asciiTheme="majorHAnsi" w:hAnsiTheme="majorHAnsi"/>
                                <w:sz w:val="10"/>
                                <w:szCs w:val="10"/>
                              </w:rPr>
                            </w:pPr>
                          </w:p>
                          <w:tbl>
                            <w:tblPr>
                              <w:tblStyle w:val="TableGrid2"/>
                              <w:tblW w:w="0" w:type="auto"/>
                              <w:jc w:val="center"/>
                              <w:tblLook w:val="04A0" w:firstRow="1" w:lastRow="0" w:firstColumn="1" w:lastColumn="0" w:noHBand="0" w:noVBand="1"/>
                            </w:tblPr>
                            <w:tblGrid>
                              <w:gridCol w:w="1715"/>
                              <w:gridCol w:w="1543"/>
                              <w:gridCol w:w="360"/>
                              <w:gridCol w:w="1620"/>
                              <w:gridCol w:w="1530"/>
                              <w:gridCol w:w="360"/>
                              <w:gridCol w:w="1612"/>
                              <w:gridCol w:w="1530"/>
                              <w:gridCol w:w="8"/>
                            </w:tblGrid>
                            <w:tr w:rsidR="005D3FC7" w:rsidRPr="00CC2DB1" w:rsidTr="005D3FC7">
                              <w:trPr>
                                <w:jc w:val="center"/>
                              </w:trPr>
                              <w:tc>
                                <w:tcPr>
                                  <w:tcW w:w="1715" w:type="dxa"/>
                                  <w:shd w:val="clear" w:color="auto" w:fill="9BC7CE" w:themeFill="accent5" w:themeFillTint="99"/>
                                  <w:vAlign w:val="center"/>
                                </w:tcPr>
                                <w:p w:rsidR="0003368C" w:rsidRPr="00CC2DB1" w:rsidRDefault="0003368C" w:rsidP="0003368C">
                                  <w:pPr>
                                    <w:jc w:val="center"/>
                                    <w:rPr>
                                      <w:rFonts w:ascii="Garamond" w:hAnsi="Garamond"/>
                                      <w:b/>
                                      <w:sz w:val="16"/>
                                      <w:szCs w:val="16"/>
                                    </w:rPr>
                                  </w:pPr>
                                  <w:r w:rsidRPr="00CC2DB1">
                                    <w:rPr>
                                      <w:rFonts w:ascii="Garamond" w:hAnsi="Garamond"/>
                                      <w:b/>
                                      <w:sz w:val="16"/>
                                      <w:szCs w:val="16"/>
                                    </w:rPr>
                                    <w:t>Primary Substance</w:t>
                                  </w:r>
                                </w:p>
                              </w:tc>
                              <w:tc>
                                <w:tcPr>
                                  <w:tcW w:w="1543" w:type="dxa"/>
                                  <w:tcBorders>
                                    <w:righ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c>
                                <w:tcPr>
                                  <w:tcW w:w="360" w:type="dxa"/>
                                  <w:tcBorders>
                                    <w:left w:val="nil"/>
                                    <w:bottom w:val="nil"/>
                                    <w:right w:val="nil"/>
                                  </w:tcBorders>
                                  <w:shd w:val="clear" w:color="auto" w:fill="9BC7CE" w:themeFill="accent5" w:themeFillTint="99"/>
                                </w:tcPr>
                                <w:p w:rsidR="0003368C" w:rsidRPr="00CC2DB1" w:rsidRDefault="0003368C" w:rsidP="00BF7E11">
                                  <w:pPr>
                                    <w:jc w:val="center"/>
                                    <w:rPr>
                                      <w:rFonts w:ascii="Garamond" w:hAnsi="Garamond"/>
                                      <w:b/>
                                      <w:sz w:val="16"/>
                                      <w:szCs w:val="16"/>
                                    </w:rPr>
                                  </w:pPr>
                                </w:p>
                              </w:tc>
                              <w:tc>
                                <w:tcPr>
                                  <w:tcW w:w="1620" w:type="dxa"/>
                                  <w:tcBorders>
                                    <w:lef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Age at Admission</w:t>
                                  </w:r>
                                </w:p>
                              </w:tc>
                              <w:tc>
                                <w:tcPr>
                                  <w:tcW w:w="1530" w:type="dxa"/>
                                  <w:tcBorders>
                                    <w:righ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c>
                                <w:tcPr>
                                  <w:tcW w:w="360" w:type="dxa"/>
                                  <w:tcBorders>
                                    <w:left w:val="nil"/>
                                    <w:bottom w:val="nil"/>
                                    <w:right w:val="nil"/>
                                  </w:tcBorders>
                                  <w:shd w:val="clear" w:color="auto" w:fill="9BC7CE" w:themeFill="accent5" w:themeFillTint="99"/>
                                </w:tcPr>
                                <w:p w:rsidR="0003368C" w:rsidRPr="00CC2DB1" w:rsidRDefault="0003368C" w:rsidP="00BF7E11">
                                  <w:pPr>
                                    <w:jc w:val="center"/>
                                    <w:rPr>
                                      <w:rFonts w:ascii="Garamond" w:hAnsi="Garamond"/>
                                      <w:b/>
                                      <w:sz w:val="16"/>
                                      <w:szCs w:val="16"/>
                                    </w:rPr>
                                  </w:pPr>
                                </w:p>
                              </w:tc>
                              <w:tc>
                                <w:tcPr>
                                  <w:tcW w:w="1612" w:type="dxa"/>
                                  <w:tcBorders>
                                    <w:lef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Race/Ethnicity</w:t>
                                  </w:r>
                                </w:p>
                              </w:tc>
                              <w:tc>
                                <w:tcPr>
                                  <w:tcW w:w="1538" w:type="dxa"/>
                                  <w:gridSpan w:val="2"/>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r>
                            <w:tr w:rsidR="0003368C" w:rsidRPr="00CC2DB1" w:rsidTr="005D3FC7">
                              <w:trPr>
                                <w:jc w:val="center"/>
                              </w:trPr>
                              <w:tc>
                                <w:tcPr>
                                  <w:tcW w:w="1715" w:type="dxa"/>
                                  <w:shd w:val="clear" w:color="auto" w:fill="FFFFFF" w:themeFill="background1"/>
                                </w:tcPr>
                                <w:p w:rsidR="0003368C" w:rsidRPr="00CC2DB1" w:rsidRDefault="00810062" w:rsidP="003F4DE2">
                                  <w:pPr>
                                    <w:rPr>
                                      <w:rFonts w:ascii="Garamond" w:hAnsi="Garamond"/>
                                      <w:sz w:val="16"/>
                                      <w:szCs w:val="16"/>
                                    </w:rPr>
                                  </w:pPr>
                                  <w:r w:rsidRPr="00CC2DB1">
                                    <w:rPr>
                                      <w:rFonts w:ascii="Garamond" w:hAnsi="Garamond"/>
                                      <w:sz w:val="16"/>
                                      <w:szCs w:val="16"/>
                                    </w:rPr>
                                    <w:t>Heroin</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22.1% (357,293)</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12-17</w:t>
                                  </w:r>
                                </w:p>
                              </w:tc>
                              <w:tc>
                                <w:tcPr>
                                  <w:tcW w:w="1530" w:type="dxa"/>
                                  <w:shd w:val="clear" w:color="auto" w:fill="FFFFFF" w:themeFill="background1"/>
                                </w:tcPr>
                                <w:p w:rsidR="0003368C" w:rsidRPr="00CC2DB1" w:rsidRDefault="00AA3F90" w:rsidP="00D038F6">
                                  <w:pPr>
                                    <w:rPr>
                                      <w:rFonts w:ascii="Garamond" w:hAnsi="Garamond"/>
                                      <w:sz w:val="16"/>
                                      <w:szCs w:val="16"/>
                                    </w:rPr>
                                  </w:pPr>
                                  <w:r w:rsidRPr="00CC2DB1">
                                    <w:rPr>
                                      <w:rFonts w:ascii="Garamond" w:hAnsi="Garamond"/>
                                      <w:sz w:val="16"/>
                                      <w:szCs w:val="16"/>
                                    </w:rPr>
                                    <w:t>4.8</w:t>
                                  </w:r>
                                  <w:r w:rsidR="0003368C" w:rsidRPr="00CC2DB1">
                                    <w:rPr>
                                      <w:rFonts w:ascii="Garamond" w:hAnsi="Garamond"/>
                                      <w:sz w:val="16"/>
                                      <w:szCs w:val="16"/>
                                    </w:rPr>
                                    <w:t>% (</w:t>
                                  </w:r>
                                  <w:r w:rsidR="00D038F6" w:rsidRPr="00CC2DB1">
                                    <w:rPr>
                                      <w:rFonts w:ascii="Garamond" w:hAnsi="Garamond"/>
                                      <w:sz w:val="16"/>
                                      <w:szCs w:val="16"/>
                                    </w:rPr>
                                    <w:t>77,812</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White</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62.3</w:t>
                                  </w:r>
                                  <w:r w:rsidR="0003368C" w:rsidRPr="00CC2DB1">
                                    <w:rPr>
                                      <w:rFonts w:ascii="Garamond" w:hAnsi="Garamond"/>
                                      <w:sz w:val="16"/>
                                      <w:szCs w:val="16"/>
                                    </w:rPr>
                                    <w:t>% (</w:t>
                                  </w:r>
                                  <w:r w:rsidR="00AA3F90" w:rsidRPr="00CC2DB1">
                                    <w:rPr>
                                      <w:rFonts w:ascii="Garamond" w:hAnsi="Garamond"/>
                                      <w:sz w:val="16"/>
                                      <w:szCs w:val="16"/>
                                    </w:rPr>
                                    <w:t>981,107</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810062" w:rsidP="00BF7E11">
                                  <w:pPr>
                                    <w:rPr>
                                      <w:rFonts w:ascii="Garamond" w:hAnsi="Garamond"/>
                                      <w:sz w:val="16"/>
                                      <w:szCs w:val="16"/>
                                    </w:rPr>
                                  </w:pPr>
                                  <w:r w:rsidRPr="00CC2DB1">
                                    <w:rPr>
                                      <w:rFonts w:ascii="Garamond" w:hAnsi="Garamond"/>
                                      <w:sz w:val="16"/>
                                      <w:szCs w:val="16"/>
                                    </w:rPr>
                                    <w:t>Alcohol only</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20.3% (327,694)</w:t>
                                  </w:r>
                                </w:p>
                              </w:tc>
                              <w:tc>
                                <w:tcPr>
                                  <w:tcW w:w="360" w:type="dxa"/>
                                  <w:tcBorders>
                                    <w:top w:val="nil"/>
                                    <w:bottom w:val="nil"/>
                                  </w:tcBorders>
                                  <w:shd w:val="clear" w:color="auto" w:fill="9BC7CE" w:themeFill="accent5" w:themeFillTint="99"/>
                                </w:tcPr>
                                <w:p w:rsidR="0003368C" w:rsidRPr="00CC2DB1" w:rsidRDefault="0003368C" w:rsidP="00BF7E11">
                                  <w:pPr>
                                    <w:rPr>
                                      <w:rFonts w:ascii="Garamond" w:hAnsi="Garamond"/>
                                      <w:sz w:val="16"/>
                                      <w:szCs w:val="16"/>
                                    </w:rPr>
                                  </w:pPr>
                                </w:p>
                              </w:tc>
                              <w:tc>
                                <w:tcPr>
                                  <w:tcW w:w="1620" w:type="dxa"/>
                                  <w:shd w:val="clear" w:color="auto" w:fill="FFFFFF" w:themeFill="background1"/>
                                </w:tcPr>
                                <w:p w:rsidR="0003368C" w:rsidRPr="00CC2DB1" w:rsidRDefault="00D038F6" w:rsidP="00BF7E11">
                                  <w:pPr>
                                    <w:rPr>
                                      <w:rFonts w:ascii="Garamond" w:hAnsi="Garamond"/>
                                      <w:sz w:val="16"/>
                                      <w:szCs w:val="16"/>
                                    </w:rPr>
                                  </w:pPr>
                                  <w:r w:rsidRPr="00CC2DB1">
                                    <w:rPr>
                                      <w:rFonts w:ascii="Garamond" w:hAnsi="Garamond"/>
                                      <w:sz w:val="16"/>
                                      <w:szCs w:val="16"/>
                                    </w:rPr>
                                    <w:t>18-24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16.6</w:t>
                                  </w:r>
                                  <w:r w:rsidR="0003368C" w:rsidRPr="00CC2DB1">
                                    <w:rPr>
                                      <w:rFonts w:ascii="Garamond" w:hAnsi="Garamond"/>
                                      <w:sz w:val="16"/>
                                      <w:szCs w:val="16"/>
                                    </w:rPr>
                                    <w:t>% (</w:t>
                                  </w:r>
                                  <w:r w:rsidRPr="00CC2DB1">
                                    <w:rPr>
                                      <w:rFonts w:ascii="Garamond" w:hAnsi="Garamond"/>
                                      <w:sz w:val="16"/>
                                      <w:szCs w:val="16"/>
                                    </w:rPr>
                                    <w:t>268,319</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BF7E11">
                                  <w:pPr>
                                    <w:rPr>
                                      <w:rFonts w:ascii="Garamond" w:hAnsi="Garamond"/>
                                      <w:sz w:val="16"/>
                                      <w:szCs w:val="16"/>
                                    </w:rPr>
                                  </w:pPr>
                                </w:p>
                              </w:tc>
                              <w:tc>
                                <w:tcPr>
                                  <w:tcW w:w="1612" w:type="dxa"/>
                                  <w:shd w:val="clear" w:color="auto" w:fill="FFFFFF" w:themeFill="background1"/>
                                </w:tcPr>
                                <w:p w:rsidR="0003368C" w:rsidRPr="00CC2DB1" w:rsidRDefault="0003368C" w:rsidP="00BF7E11">
                                  <w:pPr>
                                    <w:rPr>
                                      <w:rFonts w:ascii="Garamond" w:hAnsi="Garamond"/>
                                      <w:sz w:val="16"/>
                                      <w:szCs w:val="16"/>
                                    </w:rPr>
                                  </w:pPr>
                                  <w:r w:rsidRPr="00CC2DB1">
                                    <w:rPr>
                                      <w:rFonts w:ascii="Garamond" w:hAnsi="Garamond"/>
                                      <w:sz w:val="16"/>
                                      <w:szCs w:val="16"/>
                                    </w:rPr>
                                    <w:t>Black/</w:t>
                                  </w:r>
                                  <w:proofErr w:type="spellStart"/>
                                  <w:r w:rsidRPr="00CC2DB1">
                                    <w:rPr>
                                      <w:rFonts w:ascii="Garamond" w:hAnsi="Garamond"/>
                                      <w:sz w:val="16"/>
                                      <w:szCs w:val="16"/>
                                    </w:rPr>
                                    <w:t>Afr</w:t>
                                  </w:r>
                                  <w:proofErr w:type="spellEnd"/>
                                  <w:r w:rsidRPr="00CC2DB1">
                                    <w:rPr>
                                      <w:rFonts w:ascii="Garamond" w:hAnsi="Garamond"/>
                                      <w:sz w:val="16"/>
                                      <w:szCs w:val="16"/>
                                    </w:rPr>
                                    <w:t xml:space="preserve"> American</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17</w:t>
                                  </w:r>
                                  <w:r w:rsidR="0003368C" w:rsidRPr="00CC2DB1">
                                    <w:rPr>
                                      <w:rFonts w:ascii="Garamond" w:hAnsi="Garamond"/>
                                      <w:sz w:val="16"/>
                                      <w:szCs w:val="16"/>
                                    </w:rPr>
                                    <w:t>.9%  (</w:t>
                                  </w:r>
                                  <w:r w:rsidR="00AA3F90" w:rsidRPr="00CC2DB1">
                                    <w:rPr>
                                      <w:rFonts w:ascii="Garamond" w:hAnsi="Garamond"/>
                                      <w:sz w:val="16"/>
                                      <w:szCs w:val="16"/>
                                    </w:rPr>
                                    <w:t>281,403</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810062" w:rsidP="003F4DE2">
                                  <w:pPr>
                                    <w:rPr>
                                      <w:rFonts w:ascii="Garamond" w:hAnsi="Garamond"/>
                                      <w:sz w:val="16"/>
                                      <w:szCs w:val="16"/>
                                    </w:rPr>
                                  </w:pPr>
                                  <w:r w:rsidRPr="00CC2DB1">
                                    <w:rPr>
                                      <w:rFonts w:ascii="Garamond" w:hAnsi="Garamond"/>
                                      <w:sz w:val="16"/>
                                      <w:szCs w:val="16"/>
                                    </w:rPr>
                                    <w:t>Marijuana</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15.3% (247,461)</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2</w:t>
                                  </w:r>
                                  <w:r w:rsidR="00AA3F90" w:rsidRPr="00CC2DB1">
                                    <w:rPr>
                                      <w:rFonts w:ascii="Garamond" w:hAnsi="Garamond"/>
                                      <w:sz w:val="16"/>
                                      <w:szCs w:val="16"/>
                                    </w:rPr>
                                    <w:t>5-29</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17.2</w:t>
                                  </w:r>
                                  <w:r w:rsidR="0003368C" w:rsidRPr="00CC2DB1">
                                    <w:rPr>
                                      <w:rFonts w:ascii="Garamond" w:hAnsi="Garamond"/>
                                      <w:sz w:val="16"/>
                                      <w:szCs w:val="16"/>
                                    </w:rPr>
                                    <w:t>%  (</w:t>
                                  </w:r>
                                  <w:r w:rsidRPr="00CC2DB1">
                                    <w:rPr>
                                      <w:rFonts w:ascii="Garamond" w:hAnsi="Garamond"/>
                                      <w:sz w:val="16"/>
                                      <w:szCs w:val="16"/>
                                    </w:rPr>
                                    <w:t>276,860</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 xml:space="preserve">Am </w:t>
                                  </w:r>
                                  <w:proofErr w:type="spellStart"/>
                                  <w:r w:rsidRPr="00CC2DB1">
                                    <w:rPr>
                                      <w:rFonts w:ascii="Garamond" w:hAnsi="Garamond"/>
                                      <w:sz w:val="16"/>
                                      <w:szCs w:val="16"/>
                                    </w:rPr>
                                    <w:t>Ind</w:t>
                                  </w:r>
                                  <w:proofErr w:type="spellEnd"/>
                                  <w:r w:rsidRPr="00CC2DB1">
                                    <w:rPr>
                                      <w:rFonts w:ascii="Garamond" w:hAnsi="Garamond"/>
                                      <w:sz w:val="16"/>
                                      <w:szCs w:val="16"/>
                                    </w:rPr>
                                    <w:t>/AK Native</w:t>
                                  </w:r>
                                </w:p>
                              </w:tc>
                              <w:tc>
                                <w:tcPr>
                                  <w:tcW w:w="1538" w:type="dxa"/>
                                  <w:gridSpan w:val="2"/>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2.5% (</w:t>
                                  </w:r>
                                  <w:r w:rsidR="00AA3F90" w:rsidRPr="00CC2DB1">
                                    <w:rPr>
                                      <w:rFonts w:ascii="Garamond" w:hAnsi="Garamond"/>
                                      <w:sz w:val="16"/>
                                      <w:szCs w:val="16"/>
                                    </w:rPr>
                                    <w:t>38,959</w:t>
                                  </w:r>
                                  <w:r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Other Opiates</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8.2</w:t>
                                  </w:r>
                                  <w:r w:rsidR="0003368C" w:rsidRPr="00CC2DB1">
                                    <w:rPr>
                                      <w:rFonts w:ascii="Garamond" w:hAnsi="Garamond"/>
                                      <w:sz w:val="16"/>
                                      <w:szCs w:val="16"/>
                                    </w:rPr>
                                    <w:t>% (</w:t>
                                  </w:r>
                                  <w:r w:rsidR="00810062" w:rsidRPr="00CC2DB1">
                                    <w:rPr>
                                      <w:rFonts w:ascii="Garamond" w:hAnsi="Garamond"/>
                                      <w:sz w:val="16"/>
                                      <w:szCs w:val="16"/>
                                    </w:rPr>
                                    <w:t>132,387</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3</w:t>
                                  </w:r>
                                  <w:r w:rsidR="00AA3F90" w:rsidRPr="00CC2DB1">
                                    <w:rPr>
                                      <w:rFonts w:ascii="Garamond" w:hAnsi="Garamond"/>
                                      <w:sz w:val="16"/>
                                      <w:szCs w:val="16"/>
                                    </w:rPr>
                                    <w:t>0-34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15.1</w:t>
                                  </w:r>
                                  <w:r w:rsidR="0003368C" w:rsidRPr="00CC2DB1">
                                    <w:rPr>
                                      <w:rFonts w:ascii="Garamond" w:hAnsi="Garamond"/>
                                      <w:sz w:val="16"/>
                                      <w:szCs w:val="16"/>
                                    </w:rPr>
                                    <w:t>% (</w:t>
                                  </w:r>
                                  <w:r w:rsidRPr="00CC2DB1">
                                    <w:rPr>
                                      <w:rFonts w:ascii="Garamond" w:hAnsi="Garamond"/>
                                      <w:sz w:val="16"/>
                                      <w:szCs w:val="16"/>
                                    </w:rPr>
                                    <w:t>242,742</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Asian/Pac Islander</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1.0</w:t>
                                  </w:r>
                                  <w:r w:rsidR="0003368C" w:rsidRPr="00CC2DB1">
                                    <w:rPr>
                                      <w:rFonts w:ascii="Garamond" w:hAnsi="Garamond"/>
                                      <w:sz w:val="16"/>
                                      <w:szCs w:val="16"/>
                                    </w:rPr>
                                    <w:t>% (</w:t>
                                  </w:r>
                                  <w:r w:rsidR="00AA3F90" w:rsidRPr="00CC2DB1">
                                    <w:rPr>
                                      <w:rFonts w:ascii="Garamond" w:hAnsi="Garamond"/>
                                      <w:sz w:val="16"/>
                                      <w:szCs w:val="16"/>
                                    </w:rPr>
                                    <w:t>16,529</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Amphetamines</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8.9</w:t>
                                  </w:r>
                                  <w:r w:rsidR="0003368C" w:rsidRPr="00CC2DB1">
                                    <w:rPr>
                                      <w:rFonts w:ascii="Garamond" w:hAnsi="Garamond"/>
                                      <w:sz w:val="16"/>
                                      <w:szCs w:val="16"/>
                                    </w:rPr>
                                    <w:t>% (</w:t>
                                  </w:r>
                                  <w:r w:rsidR="00810062" w:rsidRPr="00CC2DB1">
                                    <w:rPr>
                                      <w:rFonts w:ascii="Garamond" w:hAnsi="Garamond"/>
                                      <w:sz w:val="16"/>
                                      <w:szCs w:val="16"/>
                                    </w:rPr>
                                    <w:t>144,427</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3</w:t>
                                  </w:r>
                                  <w:r w:rsidR="00AA3F90" w:rsidRPr="00CC2DB1">
                                    <w:rPr>
                                      <w:rFonts w:ascii="Garamond" w:hAnsi="Garamond"/>
                                      <w:sz w:val="16"/>
                                      <w:szCs w:val="16"/>
                                    </w:rPr>
                                    <w:t>5-39</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10.9</w:t>
                                  </w:r>
                                  <w:r w:rsidR="0003368C" w:rsidRPr="00CC2DB1">
                                    <w:rPr>
                                      <w:rFonts w:ascii="Garamond" w:hAnsi="Garamond"/>
                                      <w:sz w:val="16"/>
                                      <w:szCs w:val="16"/>
                                    </w:rPr>
                                    <w:t>% (17</w:t>
                                  </w:r>
                                  <w:r w:rsidRPr="00CC2DB1">
                                    <w:rPr>
                                      <w:rFonts w:ascii="Garamond" w:hAnsi="Garamond"/>
                                      <w:sz w:val="16"/>
                                      <w:szCs w:val="16"/>
                                    </w:rPr>
                                    <w:t>5,051</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Hispanic</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13.0</w:t>
                                  </w:r>
                                  <w:r w:rsidR="0003368C" w:rsidRPr="00CC2DB1">
                                    <w:rPr>
                                      <w:rFonts w:ascii="Garamond" w:hAnsi="Garamond"/>
                                      <w:sz w:val="16"/>
                                      <w:szCs w:val="16"/>
                                    </w:rPr>
                                    <w:t>% (</w:t>
                                  </w:r>
                                  <w:r w:rsidR="00AA3F90" w:rsidRPr="00CC2DB1">
                                    <w:rPr>
                                      <w:rFonts w:ascii="Garamond" w:hAnsi="Garamond"/>
                                      <w:sz w:val="16"/>
                                      <w:szCs w:val="16"/>
                                    </w:rPr>
                                    <w:t>205,564</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 xml:space="preserve">Cocaine (smoked) </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3.6</w:t>
                                  </w:r>
                                  <w:r w:rsidR="0003368C" w:rsidRPr="00CC2DB1">
                                    <w:rPr>
                                      <w:rFonts w:ascii="Garamond" w:hAnsi="Garamond"/>
                                      <w:sz w:val="16"/>
                                      <w:szCs w:val="16"/>
                                    </w:rPr>
                                    <w:t>% (</w:t>
                                  </w:r>
                                  <w:r w:rsidR="00810062" w:rsidRPr="00CC2DB1">
                                    <w:rPr>
                                      <w:rFonts w:ascii="Garamond" w:hAnsi="Garamond"/>
                                      <w:sz w:val="16"/>
                                      <w:szCs w:val="16"/>
                                    </w:rPr>
                                    <w:t>57,493</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AA3F90" w:rsidP="003F4DE2">
                                  <w:pPr>
                                    <w:rPr>
                                      <w:rFonts w:ascii="Garamond" w:hAnsi="Garamond"/>
                                      <w:sz w:val="16"/>
                                      <w:szCs w:val="16"/>
                                    </w:rPr>
                                  </w:pPr>
                                  <w:r w:rsidRPr="00CC2DB1">
                                    <w:rPr>
                                      <w:rFonts w:ascii="Garamond" w:hAnsi="Garamond"/>
                                      <w:sz w:val="16"/>
                                      <w:szCs w:val="16"/>
                                    </w:rPr>
                                    <w:t>40-44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9.4</w:t>
                                  </w:r>
                                  <w:r w:rsidR="0003368C" w:rsidRPr="00CC2DB1">
                                    <w:rPr>
                                      <w:rFonts w:ascii="Garamond" w:hAnsi="Garamond"/>
                                      <w:sz w:val="16"/>
                                      <w:szCs w:val="16"/>
                                    </w:rPr>
                                    <w:t>% (</w:t>
                                  </w:r>
                                  <w:r w:rsidRPr="00CC2DB1">
                                    <w:rPr>
                                      <w:rFonts w:ascii="Garamond" w:hAnsi="Garamond"/>
                                      <w:sz w:val="16"/>
                                      <w:szCs w:val="16"/>
                                    </w:rPr>
                                    <w:t>151,336</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Other</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3.3</w:t>
                                  </w:r>
                                  <w:r w:rsidR="0003368C" w:rsidRPr="00CC2DB1">
                                    <w:rPr>
                                      <w:rFonts w:ascii="Garamond" w:hAnsi="Garamond"/>
                                      <w:sz w:val="16"/>
                                      <w:szCs w:val="16"/>
                                    </w:rPr>
                                    <w:t>% (</w:t>
                                  </w:r>
                                  <w:r w:rsidR="00AA3F90" w:rsidRPr="00CC2DB1">
                                    <w:rPr>
                                      <w:rFonts w:ascii="Garamond" w:hAnsi="Garamond"/>
                                      <w:sz w:val="16"/>
                                      <w:szCs w:val="16"/>
                                    </w:rPr>
                                    <w:t>51,648</w:t>
                                  </w:r>
                                  <w:r w:rsidR="0003368C" w:rsidRPr="00CC2DB1">
                                    <w:rPr>
                                      <w:rFonts w:ascii="Garamond" w:hAnsi="Garamond"/>
                                      <w:sz w:val="16"/>
                                      <w:szCs w:val="16"/>
                                    </w:rPr>
                                    <w:t>)</w:t>
                                  </w: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Cocaine (other route)</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1.9% (30,017)</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45-49</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9.5% (153,383)</w:t>
                                  </w:r>
                                </w:p>
                              </w:tc>
                              <w:tc>
                                <w:tcPr>
                                  <w:tcW w:w="360" w:type="dxa"/>
                                  <w:tcBorders>
                                    <w:top w:val="nil"/>
                                    <w:bottom w:val="nil"/>
                                    <w:right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vMerge w:val="restart"/>
                                  <w:tcBorders>
                                    <w:left w:val="nil"/>
                                  </w:tcBorders>
                                  <w:shd w:val="clear" w:color="auto" w:fill="9BC7CE" w:themeFill="accent5" w:themeFillTint="99"/>
                                  <w:vAlign w:val="center"/>
                                </w:tcPr>
                                <w:p w:rsidR="00736E99" w:rsidRPr="00CC2DB1" w:rsidRDefault="00736E99" w:rsidP="00736E99">
                                  <w:pPr>
                                    <w:jc w:val="center"/>
                                    <w:rPr>
                                      <w:rFonts w:ascii="Garamond" w:hAnsi="Garamond"/>
                                      <w:b/>
                                      <w:sz w:val="16"/>
                                      <w:szCs w:val="16"/>
                                    </w:rPr>
                                  </w:pPr>
                                  <w:r w:rsidRPr="00CC2DB1">
                                    <w:rPr>
                                      <w:rFonts w:ascii="Garamond" w:hAnsi="Garamond"/>
                                      <w:b/>
                                      <w:sz w:val="16"/>
                                      <w:szCs w:val="16"/>
                                    </w:rPr>
                                    <w:t>Gender</w:t>
                                  </w:r>
                                </w:p>
                              </w:tc>
                              <w:tc>
                                <w:tcPr>
                                  <w:tcW w:w="1530" w:type="dxa"/>
                                  <w:vMerge w:val="restart"/>
                                  <w:shd w:val="clear" w:color="auto" w:fill="9BC7CE" w:themeFill="accent5" w:themeFillTint="99"/>
                                  <w:vAlign w:val="center"/>
                                </w:tcPr>
                                <w:p w:rsidR="00736E99" w:rsidRPr="00CC2DB1" w:rsidRDefault="00736E99" w:rsidP="00736E99">
                                  <w:pPr>
                                    <w:jc w:val="center"/>
                                    <w:rPr>
                                      <w:rFonts w:ascii="Garamond" w:hAnsi="Garamond"/>
                                      <w:b/>
                                      <w:sz w:val="16"/>
                                      <w:szCs w:val="16"/>
                                    </w:rPr>
                                  </w:pPr>
                                  <w:r w:rsidRPr="00CC2DB1">
                                    <w:rPr>
                                      <w:rFonts w:ascii="Garamond" w:hAnsi="Garamond"/>
                                      <w:b/>
                                      <w:sz w:val="16"/>
                                      <w:szCs w:val="16"/>
                                    </w:rPr>
                                    <w:t>% (estimate)</w:t>
                                  </w: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PCP</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0.3% (4,910)</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50-54</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8.5% (137,574)</w:t>
                                  </w:r>
                                </w:p>
                              </w:tc>
                              <w:tc>
                                <w:tcPr>
                                  <w:tcW w:w="360" w:type="dxa"/>
                                  <w:tcBorders>
                                    <w:top w:val="nil"/>
                                    <w:bottom w:val="nil"/>
                                    <w:right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vMerge/>
                                  <w:tcBorders>
                                    <w:left w:val="nil"/>
                                  </w:tcBorders>
                                  <w:shd w:val="clear" w:color="auto" w:fill="9BC7CE" w:themeFill="accent5" w:themeFillTint="99"/>
                                </w:tcPr>
                                <w:p w:rsidR="00736E99" w:rsidRPr="00CC2DB1" w:rsidRDefault="00736E99" w:rsidP="00F373AB">
                                  <w:pPr>
                                    <w:jc w:val="center"/>
                                    <w:rPr>
                                      <w:rFonts w:ascii="Garamond" w:hAnsi="Garamond"/>
                                      <w:b/>
                                      <w:sz w:val="16"/>
                                      <w:szCs w:val="16"/>
                                    </w:rPr>
                                  </w:pPr>
                                </w:p>
                              </w:tc>
                              <w:tc>
                                <w:tcPr>
                                  <w:tcW w:w="1530" w:type="dxa"/>
                                  <w:vMerge/>
                                  <w:shd w:val="clear" w:color="auto" w:fill="9BC7CE" w:themeFill="accent5" w:themeFillTint="99"/>
                                </w:tcPr>
                                <w:p w:rsidR="00736E99" w:rsidRPr="00CC2DB1" w:rsidRDefault="00736E99" w:rsidP="00F373AB">
                                  <w:pPr>
                                    <w:jc w:val="center"/>
                                    <w:rPr>
                                      <w:rFonts w:ascii="Garamond" w:hAnsi="Garamond"/>
                                      <w:b/>
                                      <w:sz w:val="16"/>
                                      <w:szCs w:val="16"/>
                                    </w:rPr>
                                  </w:pP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Hallucinogens</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0.1% (1,864)</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55-59</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4.9% (79,559)</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Male</w:t>
                                  </w:r>
                                </w:p>
                              </w:tc>
                              <w:tc>
                                <w:tcPr>
                                  <w:tcW w:w="1530" w:type="dxa"/>
                                  <w:shd w:val="clear" w:color="auto" w:fill="FFFFFF" w:themeFill="background1"/>
                                </w:tcPr>
                                <w:p w:rsidR="00736E99" w:rsidRPr="00CC2DB1" w:rsidRDefault="00736E99" w:rsidP="00D53345">
                                  <w:pPr>
                                    <w:rPr>
                                      <w:rFonts w:ascii="Garamond" w:hAnsi="Garamond"/>
                                      <w:sz w:val="16"/>
                                      <w:szCs w:val="16"/>
                                    </w:rPr>
                                  </w:pPr>
                                  <w:r w:rsidRPr="00CC2DB1">
                                    <w:rPr>
                                      <w:rFonts w:ascii="Garamond" w:hAnsi="Garamond"/>
                                      <w:sz w:val="16"/>
                                      <w:szCs w:val="16"/>
                                    </w:rPr>
                                    <w:t>66.4% (1,068,950)</w:t>
                                  </w:r>
                                </w:p>
                              </w:tc>
                            </w:tr>
                            <w:tr w:rsidR="00736E99" w:rsidRPr="00CC2DB1" w:rsidTr="005939D7">
                              <w:trPr>
                                <w:gridAfter w:val="1"/>
                                <w:wAfter w:w="8" w:type="dxa"/>
                                <w:jc w:val="center"/>
                              </w:trPr>
                              <w:tc>
                                <w:tcPr>
                                  <w:tcW w:w="1715" w:type="dxa"/>
                                  <w:shd w:val="clear" w:color="auto" w:fill="FFFFFF" w:themeFill="background1"/>
                                </w:tcPr>
                                <w:p w:rsidR="00736E99" w:rsidRPr="00CC2DB1" w:rsidRDefault="00736E99" w:rsidP="003F4DE2">
                                  <w:pPr>
                                    <w:rPr>
                                      <w:rFonts w:ascii="Garamond" w:hAnsi="Garamond"/>
                                      <w:sz w:val="16"/>
                                      <w:szCs w:val="16"/>
                                    </w:rPr>
                                  </w:pPr>
                                  <w:r w:rsidRPr="00CC2DB1">
                                    <w:rPr>
                                      <w:rFonts w:ascii="Garamond" w:hAnsi="Garamond"/>
                                      <w:sz w:val="16"/>
                                      <w:szCs w:val="16"/>
                                    </w:rPr>
                                    <w:t>Inhalants</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&lt;.05% (791)</w:t>
                                  </w:r>
                                </w:p>
                              </w:tc>
                              <w:tc>
                                <w:tcPr>
                                  <w:tcW w:w="360" w:type="dxa"/>
                                  <w:tcBorders>
                                    <w:top w:val="nil"/>
                                    <w:bottom w:val="nil"/>
                                  </w:tcBorders>
                                  <w:shd w:val="clear" w:color="auto" w:fill="9BC7CE" w:themeFill="accent5" w:themeFillTint="99"/>
                                </w:tcPr>
                                <w:p w:rsidR="00736E99" w:rsidRPr="00CC2DB1" w:rsidRDefault="00736E99" w:rsidP="003F4DE2">
                                  <w:pPr>
                                    <w:rPr>
                                      <w:rFonts w:ascii="Garamond" w:hAnsi="Garamond"/>
                                      <w:sz w:val="16"/>
                                      <w:szCs w:val="16"/>
                                    </w:rPr>
                                  </w:pPr>
                                </w:p>
                              </w:tc>
                              <w:tc>
                                <w:tcPr>
                                  <w:tcW w:w="162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60 and older</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3.0% (48,211)</w:t>
                                  </w:r>
                                </w:p>
                              </w:tc>
                              <w:tc>
                                <w:tcPr>
                                  <w:tcW w:w="360" w:type="dxa"/>
                                  <w:tcBorders>
                                    <w:top w:val="nil"/>
                                    <w:bottom w:val="nil"/>
                                  </w:tcBorders>
                                  <w:shd w:val="clear" w:color="auto" w:fill="9BC7CE" w:themeFill="accent5" w:themeFillTint="99"/>
                                </w:tcPr>
                                <w:p w:rsidR="00736E99" w:rsidRPr="00CC2DB1" w:rsidRDefault="00736E99" w:rsidP="003F4DE2">
                                  <w:pPr>
                                    <w:rPr>
                                      <w:rFonts w:ascii="Garamond" w:hAnsi="Garamond"/>
                                      <w:sz w:val="16"/>
                                      <w:szCs w:val="16"/>
                                    </w:rPr>
                                  </w:pPr>
                                </w:p>
                              </w:tc>
                              <w:tc>
                                <w:tcPr>
                                  <w:tcW w:w="1612"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Female</w:t>
                                  </w:r>
                                </w:p>
                              </w:tc>
                              <w:tc>
                                <w:tcPr>
                                  <w:tcW w:w="1530"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33.6%  (541,502)</w:t>
                                  </w:r>
                                </w:p>
                              </w:tc>
                            </w:tr>
                            <w:tr w:rsidR="005939D7" w:rsidRPr="00CC2DB1" w:rsidTr="005939D7">
                              <w:trPr>
                                <w:gridAfter w:val="1"/>
                                <w:wAfter w:w="8" w:type="dxa"/>
                                <w:jc w:val="center"/>
                              </w:trPr>
                              <w:tc>
                                <w:tcPr>
                                  <w:tcW w:w="1715" w:type="dxa"/>
                                  <w:tcBorders>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543" w:type="dxa"/>
                                  <w:tcBorders>
                                    <w:left w:val="nil"/>
                                    <w:right w:val="nil"/>
                                  </w:tcBorders>
                                  <w:shd w:val="clear" w:color="auto" w:fill="9BC7CE" w:themeFill="accent5" w:themeFillTint="99"/>
                                </w:tcPr>
                                <w:p w:rsidR="005939D7" w:rsidRPr="00CC2DB1" w:rsidRDefault="005939D7" w:rsidP="00810062">
                                  <w:pPr>
                                    <w:rPr>
                                      <w:rFonts w:ascii="Garamond" w:hAnsi="Garamond"/>
                                      <w:sz w:val="16"/>
                                      <w:szCs w:val="16"/>
                                    </w:rPr>
                                  </w:pPr>
                                </w:p>
                              </w:tc>
                              <w:tc>
                                <w:tcPr>
                                  <w:tcW w:w="360" w:type="dxa"/>
                                  <w:tcBorders>
                                    <w:top w:val="nil"/>
                                    <w:left w:val="nil"/>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620" w:type="dxa"/>
                                  <w:tcBorders>
                                    <w:left w:val="nil"/>
                                    <w:right w:val="nil"/>
                                  </w:tcBorders>
                                  <w:shd w:val="clear" w:color="auto" w:fill="9BC7CE" w:themeFill="accent5" w:themeFillTint="99"/>
                                </w:tcPr>
                                <w:p w:rsidR="005939D7" w:rsidRPr="00CC2DB1" w:rsidRDefault="005939D7" w:rsidP="00AA3F90">
                                  <w:pPr>
                                    <w:rPr>
                                      <w:rFonts w:ascii="Garamond" w:hAnsi="Garamond"/>
                                      <w:sz w:val="16"/>
                                      <w:szCs w:val="16"/>
                                    </w:rPr>
                                  </w:pPr>
                                </w:p>
                              </w:tc>
                              <w:tc>
                                <w:tcPr>
                                  <w:tcW w:w="1530" w:type="dxa"/>
                                  <w:tcBorders>
                                    <w:left w:val="nil"/>
                                    <w:right w:val="nil"/>
                                  </w:tcBorders>
                                  <w:shd w:val="clear" w:color="auto" w:fill="9BC7CE" w:themeFill="accent5" w:themeFillTint="99"/>
                                </w:tcPr>
                                <w:p w:rsidR="005939D7" w:rsidRPr="00CC2DB1" w:rsidRDefault="005939D7" w:rsidP="00AA3F90">
                                  <w:pPr>
                                    <w:rPr>
                                      <w:rFonts w:ascii="Garamond" w:hAnsi="Garamond"/>
                                      <w:sz w:val="16"/>
                                      <w:szCs w:val="16"/>
                                    </w:rPr>
                                  </w:pPr>
                                </w:p>
                              </w:tc>
                              <w:tc>
                                <w:tcPr>
                                  <w:tcW w:w="360" w:type="dxa"/>
                                  <w:tcBorders>
                                    <w:top w:val="nil"/>
                                    <w:left w:val="nil"/>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612" w:type="dxa"/>
                                  <w:tcBorders>
                                    <w:left w:val="nil"/>
                                    <w:right w:val="nil"/>
                                  </w:tcBorders>
                                  <w:shd w:val="clear" w:color="auto" w:fill="9BC7CE" w:themeFill="accent5" w:themeFillTint="99"/>
                                </w:tcPr>
                                <w:p w:rsidR="005939D7" w:rsidRPr="00CC2DB1" w:rsidRDefault="005939D7" w:rsidP="00F373AB">
                                  <w:pPr>
                                    <w:rPr>
                                      <w:rFonts w:ascii="Garamond" w:hAnsi="Garamond"/>
                                      <w:sz w:val="16"/>
                                      <w:szCs w:val="16"/>
                                    </w:rPr>
                                  </w:pPr>
                                </w:p>
                              </w:tc>
                              <w:tc>
                                <w:tcPr>
                                  <w:tcW w:w="1530" w:type="dxa"/>
                                  <w:tcBorders>
                                    <w:left w:val="nil"/>
                                  </w:tcBorders>
                                  <w:shd w:val="clear" w:color="auto" w:fill="9BC7CE" w:themeFill="accent5" w:themeFillTint="99"/>
                                </w:tcPr>
                                <w:p w:rsidR="005939D7" w:rsidRPr="00CC2DB1" w:rsidRDefault="005939D7" w:rsidP="00F373AB">
                                  <w:pPr>
                                    <w:rPr>
                                      <w:rFonts w:ascii="Garamond" w:hAnsi="Garamond"/>
                                      <w:sz w:val="16"/>
                                      <w:szCs w:val="16"/>
                                    </w:rPr>
                                  </w:pPr>
                                </w:p>
                              </w:tc>
                            </w:tr>
                          </w:tbl>
                          <w:p w:rsidR="00BF7E11" w:rsidRPr="00BF7E11" w:rsidRDefault="00BF7E11">
                            <w:pPr>
                              <w:rPr>
                                <w:rFonts w:asciiTheme="majorHAnsi" w:hAnsiTheme="majorHAnsi"/>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BA938" id="_x0000_s1029" type="#_x0000_t202" style="position:absolute;margin-left:-4.2pt;margin-top:29pt;width:522.25pt;height:18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" fillcolor="#dfebf5 [660]" strokecolor="#5aa2ae [3208]" strokeweight="1.5pt">
                <v:textbox>
                  <w:txbxContent>
                    <w:p w:rsidR="00BF7E11" w:rsidRPr="00CC2DB1" w:rsidRDefault="00F8406C" w:rsidP="00A05D9A">
                      <w:pPr>
                        <w:rPr>
                          <w:rFonts w:ascii="Garamond" w:hAnsi="Garamond"/>
                          <w:b/>
                          <w:i/>
                          <w:sz w:val="18"/>
                          <w:szCs w:val="18"/>
                        </w:rPr>
                      </w:pPr>
                      <w:r w:rsidRPr="00CC2DB1">
                        <w:rPr>
                          <w:rFonts w:ascii="Garamond" w:hAnsi="Garamond"/>
                          <w:b/>
                          <w:i/>
                          <w:sz w:val="18"/>
                          <w:szCs w:val="18"/>
                        </w:rPr>
                        <w:t xml:space="preserve">SAPT Block Grant Funds Treatment Services: Prescription Drug and Heroin Use on the Rise </w:t>
                      </w:r>
                      <w:r w:rsidR="00A41FA7" w:rsidRPr="00CC2DB1">
                        <w:rPr>
                          <w:rFonts w:ascii="Garamond" w:hAnsi="Garamond"/>
                          <w:b/>
                          <w:i/>
                          <w:sz w:val="18"/>
                          <w:szCs w:val="18"/>
                        </w:rPr>
                        <w:t>(TEDS, 2014</w:t>
                      </w:r>
                      <w:r w:rsidR="0003368C" w:rsidRPr="00CC2DB1">
                        <w:rPr>
                          <w:rFonts w:ascii="Garamond" w:hAnsi="Garamond"/>
                          <w:b/>
                          <w:i/>
                          <w:sz w:val="18"/>
                          <w:szCs w:val="18"/>
                        </w:rPr>
                        <w:t>)</w:t>
                      </w:r>
                    </w:p>
                    <w:p w:rsidR="0003368C" w:rsidRPr="00CC2DB1" w:rsidRDefault="00F8406C">
                      <w:pPr>
                        <w:rPr>
                          <w:rFonts w:ascii="Garamond" w:hAnsi="Garamond"/>
                          <w:sz w:val="18"/>
                          <w:szCs w:val="16"/>
                        </w:rPr>
                      </w:pPr>
                      <w:r w:rsidRPr="00CC2DB1">
                        <w:rPr>
                          <w:rFonts w:ascii="Garamond" w:hAnsi="Garamond"/>
                          <w:sz w:val="18"/>
                          <w:szCs w:val="16"/>
                        </w:rPr>
                        <w:t xml:space="preserve">As </w:t>
                      </w:r>
                      <w:r w:rsidR="005D3FC7" w:rsidRPr="00CC2DB1">
                        <w:rPr>
                          <w:rFonts w:ascii="Garamond" w:hAnsi="Garamond"/>
                          <w:sz w:val="18"/>
                          <w:szCs w:val="16"/>
                        </w:rPr>
                        <w:t>noted</w:t>
                      </w:r>
                      <w:r w:rsidRPr="00CC2DB1">
                        <w:rPr>
                          <w:rFonts w:ascii="Garamond" w:hAnsi="Garamond"/>
                          <w:sz w:val="18"/>
                          <w:szCs w:val="16"/>
                        </w:rPr>
                        <w:t xml:space="preserve"> below, </w:t>
                      </w:r>
                      <w:r w:rsidR="00810062" w:rsidRPr="00CC2DB1">
                        <w:rPr>
                          <w:rFonts w:ascii="Garamond" w:hAnsi="Garamond"/>
                          <w:sz w:val="18"/>
                          <w:szCs w:val="16"/>
                        </w:rPr>
                        <w:t xml:space="preserve">almost </w:t>
                      </w:r>
                      <w:r w:rsidRPr="00CC2DB1">
                        <w:rPr>
                          <w:rFonts w:ascii="Garamond" w:hAnsi="Garamond"/>
                          <w:sz w:val="18"/>
                          <w:szCs w:val="16"/>
                        </w:rPr>
                        <w:t>one-</w:t>
                      </w:r>
                      <w:r w:rsidR="00810062" w:rsidRPr="00CC2DB1">
                        <w:rPr>
                          <w:rFonts w:ascii="Garamond" w:hAnsi="Garamond"/>
                          <w:sz w:val="18"/>
                          <w:szCs w:val="16"/>
                        </w:rPr>
                        <w:t>third (30.3</w:t>
                      </w:r>
                      <w:r w:rsidRPr="00CC2DB1">
                        <w:rPr>
                          <w:rFonts w:ascii="Garamond" w:hAnsi="Garamond"/>
                          <w:sz w:val="18"/>
                          <w:szCs w:val="16"/>
                        </w:rPr>
                        <w:t>%) of individuals admitt</w:t>
                      </w:r>
                      <w:r w:rsidR="00810062" w:rsidRPr="00CC2DB1">
                        <w:rPr>
                          <w:rFonts w:ascii="Garamond" w:hAnsi="Garamond"/>
                          <w:sz w:val="18"/>
                          <w:szCs w:val="16"/>
                        </w:rPr>
                        <w:t>ed to treatment in the publicly-</w:t>
                      </w:r>
                      <w:r w:rsidRPr="00CC2DB1">
                        <w:rPr>
                          <w:rFonts w:ascii="Garamond" w:hAnsi="Garamond"/>
                          <w:sz w:val="18"/>
                          <w:szCs w:val="16"/>
                        </w:rPr>
                        <w:t xml:space="preserve">funded system cited heroin or prescription opioids as their primary substance of use. </w:t>
                      </w:r>
                      <w:r w:rsidR="00810062" w:rsidRPr="00CC2DB1">
                        <w:rPr>
                          <w:rFonts w:ascii="Garamond" w:hAnsi="Garamond"/>
                          <w:sz w:val="18"/>
                          <w:szCs w:val="16"/>
                        </w:rPr>
                        <w:t xml:space="preserve">In 2014, admissions for heroin addiction exceeded admissions for alcohol alone </w:t>
                      </w:r>
                      <w:r w:rsidR="005D3FC7" w:rsidRPr="00CC2DB1">
                        <w:rPr>
                          <w:rFonts w:ascii="Garamond" w:hAnsi="Garamond"/>
                          <w:sz w:val="18"/>
                          <w:szCs w:val="16"/>
                        </w:rPr>
                        <w:t xml:space="preserve">as primary substance of </w:t>
                      </w:r>
                      <w:r w:rsidR="00810062" w:rsidRPr="00CC2DB1">
                        <w:rPr>
                          <w:rFonts w:ascii="Garamond" w:hAnsi="Garamond"/>
                          <w:sz w:val="18"/>
                          <w:szCs w:val="16"/>
                        </w:rPr>
                        <w:t>use</w:t>
                      </w:r>
                      <w:r w:rsidRPr="00CC2DB1">
                        <w:rPr>
                          <w:rFonts w:ascii="Garamond" w:hAnsi="Garamond"/>
                          <w:sz w:val="18"/>
                          <w:szCs w:val="16"/>
                        </w:rPr>
                        <w:t xml:space="preserve">. According to NASADAD data, </w:t>
                      </w:r>
                      <w:r w:rsidR="00810062" w:rsidRPr="00CC2DB1">
                        <w:rPr>
                          <w:rFonts w:ascii="Garamond" w:hAnsi="Garamond"/>
                          <w:sz w:val="18"/>
                          <w:szCs w:val="16"/>
                        </w:rPr>
                        <w:t>in 2015</w:t>
                      </w:r>
                      <w:r w:rsidR="005332C1" w:rsidRPr="00CC2DB1">
                        <w:rPr>
                          <w:rFonts w:ascii="Garamond" w:hAnsi="Garamond"/>
                          <w:sz w:val="18"/>
                          <w:szCs w:val="16"/>
                        </w:rPr>
                        <w:t>,</w:t>
                      </w:r>
                      <w:r w:rsidRPr="00CC2DB1">
                        <w:rPr>
                          <w:rFonts w:ascii="Garamond" w:hAnsi="Garamond"/>
                          <w:sz w:val="18"/>
                          <w:szCs w:val="16"/>
                        </w:rPr>
                        <w:t xml:space="preserve"> 3</w:t>
                      </w:r>
                      <w:r w:rsidR="00810062" w:rsidRPr="00CC2DB1">
                        <w:rPr>
                          <w:rFonts w:ascii="Garamond" w:hAnsi="Garamond"/>
                          <w:sz w:val="18"/>
                          <w:szCs w:val="16"/>
                        </w:rPr>
                        <w:t>9</w:t>
                      </w:r>
                      <w:r w:rsidRPr="00CC2DB1">
                        <w:rPr>
                          <w:rFonts w:ascii="Garamond" w:hAnsi="Garamond"/>
                          <w:sz w:val="18"/>
                          <w:szCs w:val="16"/>
                        </w:rPr>
                        <w:t xml:space="preserve"> States reported an increase in treatment admissions for heroin. In addition to the troubling increase in treatment admissions, opioid overdose deaths ha</w:t>
                      </w:r>
                      <w:r w:rsidR="00810062" w:rsidRPr="00CC2DB1">
                        <w:rPr>
                          <w:rFonts w:ascii="Garamond" w:hAnsi="Garamond"/>
                          <w:sz w:val="18"/>
                          <w:szCs w:val="16"/>
                        </w:rPr>
                        <w:t>ve also been on the rise—in 2015</w:t>
                      </w:r>
                      <w:r w:rsidR="00022D58" w:rsidRPr="00CC2DB1">
                        <w:rPr>
                          <w:rFonts w:ascii="Garamond" w:hAnsi="Garamond"/>
                          <w:sz w:val="18"/>
                          <w:szCs w:val="16"/>
                        </w:rPr>
                        <w:t xml:space="preserve">, </w:t>
                      </w:r>
                      <w:r w:rsidR="00810062" w:rsidRPr="00CC2DB1">
                        <w:rPr>
                          <w:rFonts w:ascii="Garamond" w:hAnsi="Garamond"/>
                          <w:sz w:val="18"/>
                          <w:szCs w:val="16"/>
                        </w:rPr>
                        <w:t>over</w:t>
                      </w:r>
                      <w:r w:rsidR="00022D58" w:rsidRPr="00CC2DB1">
                        <w:rPr>
                          <w:rFonts w:ascii="Garamond" w:hAnsi="Garamond"/>
                          <w:sz w:val="18"/>
                          <w:szCs w:val="16"/>
                        </w:rPr>
                        <w:t xml:space="preserve"> </w:t>
                      </w:r>
                      <w:r w:rsidR="00810062" w:rsidRPr="00CC2DB1">
                        <w:rPr>
                          <w:rFonts w:ascii="Garamond" w:hAnsi="Garamond"/>
                          <w:sz w:val="18"/>
                          <w:szCs w:val="16"/>
                        </w:rPr>
                        <w:t>33</w:t>
                      </w:r>
                      <w:r w:rsidRPr="00CC2DB1">
                        <w:rPr>
                          <w:rFonts w:ascii="Garamond" w:hAnsi="Garamond"/>
                          <w:sz w:val="18"/>
                          <w:szCs w:val="16"/>
                        </w:rPr>
                        <w:t xml:space="preserve">,000 Americans lost their lives to a prescription opioid </w:t>
                      </w:r>
                      <w:r w:rsidR="00810062" w:rsidRPr="00CC2DB1">
                        <w:rPr>
                          <w:rFonts w:ascii="Garamond" w:hAnsi="Garamond"/>
                          <w:sz w:val="18"/>
                          <w:szCs w:val="16"/>
                        </w:rPr>
                        <w:t>or</w:t>
                      </w:r>
                      <w:r w:rsidRPr="00CC2DB1">
                        <w:rPr>
                          <w:rFonts w:ascii="Garamond" w:hAnsi="Garamond"/>
                          <w:sz w:val="18"/>
                          <w:szCs w:val="16"/>
                        </w:rPr>
                        <w:t xml:space="preserve"> heroin overdose.</w:t>
                      </w:r>
                    </w:p>
                    <w:p w:rsidR="00121EC5" w:rsidRPr="00121EC5" w:rsidRDefault="00121EC5">
                      <w:pPr>
                        <w:rPr>
                          <w:rFonts w:asciiTheme="majorHAnsi" w:hAnsiTheme="majorHAnsi"/>
                          <w:sz w:val="10"/>
                          <w:szCs w:val="10"/>
                        </w:rPr>
                      </w:pPr>
                    </w:p>
                    <w:tbl>
                      <w:tblPr>
                        <w:tblStyle w:val="TableGrid2"/>
                        <w:tblW w:w="0" w:type="auto"/>
                        <w:jc w:val="center"/>
                        <w:tblLook w:val="04A0" w:firstRow="1" w:lastRow="0" w:firstColumn="1" w:lastColumn="0" w:noHBand="0" w:noVBand="1"/>
                      </w:tblPr>
                      <w:tblGrid>
                        <w:gridCol w:w="1715"/>
                        <w:gridCol w:w="1543"/>
                        <w:gridCol w:w="360"/>
                        <w:gridCol w:w="1620"/>
                        <w:gridCol w:w="1530"/>
                        <w:gridCol w:w="360"/>
                        <w:gridCol w:w="1612"/>
                        <w:gridCol w:w="1530"/>
                        <w:gridCol w:w="8"/>
                      </w:tblGrid>
                      <w:tr w:rsidR="005D3FC7" w:rsidRPr="00CC2DB1" w:rsidTr="005D3FC7">
                        <w:trPr>
                          <w:jc w:val="center"/>
                        </w:trPr>
                        <w:tc>
                          <w:tcPr>
                            <w:tcW w:w="1715" w:type="dxa"/>
                            <w:shd w:val="clear" w:color="auto" w:fill="9BC7CE" w:themeFill="accent5" w:themeFillTint="99"/>
                            <w:vAlign w:val="center"/>
                          </w:tcPr>
                          <w:p w:rsidR="0003368C" w:rsidRPr="00CC2DB1" w:rsidRDefault="0003368C" w:rsidP="0003368C">
                            <w:pPr>
                              <w:jc w:val="center"/>
                              <w:rPr>
                                <w:rFonts w:ascii="Garamond" w:hAnsi="Garamond"/>
                                <w:b/>
                                <w:sz w:val="16"/>
                                <w:szCs w:val="16"/>
                              </w:rPr>
                            </w:pPr>
                            <w:r w:rsidRPr="00CC2DB1">
                              <w:rPr>
                                <w:rFonts w:ascii="Garamond" w:hAnsi="Garamond"/>
                                <w:b/>
                                <w:sz w:val="16"/>
                                <w:szCs w:val="16"/>
                              </w:rPr>
                              <w:t>Primary Substance</w:t>
                            </w:r>
                          </w:p>
                        </w:tc>
                        <w:tc>
                          <w:tcPr>
                            <w:tcW w:w="1543" w:type="dxa"/>
                            <w:tcBorders>
                              <w:righ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c>
                          <w:tcPr>
                            <w:tcW w:w="360" w:type="dxa"/>
                            <w:tcBorders>
                              <w:left w:val="nil"/>
                              <w:bottom w:val="nil"/>
                              <w:right w:val="nil"/>
                            </w:tcBorders>
                            <w:shd w:val="clear" w:color="auto" w:fill="9BC7CE" w:themeFill="accent5" w:themeFillTint="99"/>
                          </w:tcPr>
                          <w:p w:rsidR="0003368C" w:rsidRPr="00CC2DB1" w:rsidRDefault="0003368C" w:rsidP="00BF7E11">
                            <w:pPr>
                              <w:jc w:val="center"/>
                              <w:rPr>
                                <w:rFonts w:ascii="Garamond" w:hAnsi="Garamond"/>
                                <w:b/>
                                <w:sz w:val="16"/>
                                <w:szCs w:val="16"/>
                              </w:rPr>
                            </w:pPr>
                          </w:p>
                        </w:tc>
                        <w:tc>
                          <w:tcPr>
                            <w:tcW w:w="1620" w:type="dxa"/>
                            <w:tcBorders>
                              <w:lef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Age at Admission</w:t>
                            </w:r>
                          </w:p>
                        </w:tc>
                        <w:tc>
                          <w:tcPr>
                            <w:tcW w:w="1530" w:type="dxa"/>
                            <w:tcBorders>
                              <w:righ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c>
                          <w:tcPr>
                            <w:tcW w:w="360" w:type="dxa"/>
                            <w:tcBorders>
                              <w:left w:val="nil"/>
                              <w:bottom w:val="nil"/>
                              <w:right w:val="nil"/>
                            </w:tcBorders>
                            <w:shd w:val="clear" w:color="auto" w:fill="9BC7CE" w:themeFill="accent5" w:themeFillTint="99"/>
                          </w:tcPr>
                          <w:p w:rsidR="0003368C" w:rsidRPr="00CC2DB1" w:rsidRDefault="0003368C" w:rsidP="00BF7E11">
                            <w:pPr>
                              <w:jc w:val="center"/>
                              <w:rPr>
                                <w:rFonts w:ascii="Garamond" w:hAnsi="Garamond"/>
                                <w:b/>
                                <w:sz w:val="16"/>
                                <w:szCs w:val="16"/>
                              </w:rPr>
                            </w:pPr>
                          </w:p>
                        </w:tc>
                        <w:tc>
                          <w:tcPr>
                            <w:tcW w:w="1612" w:type="dxa"/>
                            <w:tcBorders>
                              <w:left w:val="nil"/>
                            </w:tcBorders>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Race/Ethnicity</w:t>
                            </w:r>
                          </w:p>
                        </w:tc>
                        <w:tc>
                          <w:tcPr>
                            <w:tcW w:w="1538" w:type="dxa"/>
                            <w:gridSpan w:val="2"/>
                            <w:shd w:val="clear" w:color="auto" w:fill="9BC7CE" w:themeFill="accent5" w:themeFillTint="99"/>
                          </w:tcPr>
                          <w:p w:rsidR="0003368C" w:rsidRPr="00CC2DB1" w:rsidRDefault="0003368C" w:rsidP="00BF7E11">
                            <w:pPr>
                              <w:jc w:val="center"/>
                              <w:rPr>
                                <w:rFonts w:ascii="Garamond" w:hAnsi="Garamond"/>
                                <w:b/>
                                <w:sz w:val="16"/>
                                <w:szCs w:val="16"/>
                              </w:rPr>
                            </w:pPr>
                            <w:r w:rsidRPr="00CC2DB1">
                              <w:rPr>
                                <w:rFonts w:ascii="Garamond" w:hAnsi="Garamond"/>
                                <w:b/>
                                <w:sz w:val="16"/>
                                <w:szCs w:val="16"/>
                              </w:rPr>
                              <w:t>% (estimate)</w:t>
                            </w:r>
                          </w:p>
                        </w:tc>
                      </w:tr>
                      <w:tr w:rsidR="0003368C" w:rsidRPr="00CC2DB1" w:rsidTr="005D3FC7">
                        <w:trPr>
                          <w:jc w:val="center"/>
                        </w:trPr>
                        <w:tc>
                          <w:tcPr>
                            <w:tcW w:w="1715" w:type="dxa"/>
                            <w:shd w:val="clear" w:color="auto" w:fill="FFFFFF" w:themeFill="background1"/>
                          </w:tcPr>
                          <w:p w:rsidR="0003368C" w:rsidRPr="00CC2DB1" w:rsidRDefault="00810062" w:rsidP="003F4DE2">
                            <w:pPr>
                              <w:rPr>
                                <w:rFonts w:ascii="Garamond" w:hAnsi="Garamond"/>
                                <w:sz w:val="16"/>
                                <w:szCs w:val="16"/>
                              </w:rPr>
                            </w:pPr>
                            <w:r w:rsidRPr="00CC2DB1">
                              <w:rPr>
                                <w:rFonts w:ascii="Garamond" w:hAnsi="Garamond"/>
                                <w:sz w:val="16"/>
                                <w:szCs w:val="16"/>
                              </w:rPr>
                              <w:t>Heroin</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22.1% (357,293)</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12-17</w:t>
                            </w:r>
                          </w:p>
                        </w:tc>
                        <w:tc>
                          <w:tcPr>
                            <w:tcW w:w="1530" w:type="dxa"/>
                            <w:shd w:val="clear" w:color="auto" w:fill="FFFFFF" w:themeFill="background1"/>
                          </w:tcPr>
                          <w:p w:rsidR="0003368C" w:rsidRPr="00CC2DB1" w:rsidRDefault="00AA3F90" w:rsidP="00D038F6">
                            <w:pPr>
                              <w:rPr>
                                <w:rFonts w:ascii="Garamond" w:hAnsi="Garamond"/>
                                <w:sz w:val="16"/>
                                <w:szCs w:val="16"/>
                              </w:rPr>
                            </w:pPr>
                            <w:r w:rsidRPr="00CC2DB1">
                              <w:rPr>
                                <w:rFonts w:ascii="Garamond" w:hAnsi="Garamond"/>
                                <w:sz w:val="16"/>
                                <w:szCs w:val="16"/>
                              </w:rPr>
                              <w:t>4.8</w:t>
                            </w:r>
                            <w:r w:rsidR="0003368C" w:rsidRPr="00CC2DB1">
                              <w:rPr>
                                <w:rFonts w:ascii="Garamond" w:hAnsi="Garamond"/>
                                <w:sz w:val="16"/>
                                <w:szCs w:val="16"/>
                              </w:rPr>
                              <w:t>% (</w:t>
                            </w:r>
                            <w:r w:rsidR="00D038F6" w:rsidRPr="00CC2DB1">
                              <w:rPr>
                                <w:rFonts w:ascii="Garamond" w:hAnsi="Garamond"/>
                                <w:sz w:val="16"/>
                                <w:szCs w:val="16"/>
                              </w:rPr>
                              <w:t>77,812</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White</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62.3</w:t>
                            </w:r>
                            <w:r w:rsidR="0003368C" w:rsidRPr="00CC2DB1">
                              <w:rPr>
                                <w:rFonts w:ascii="Garamond" w:hAnsi="Garamond"/>
                                <w:sz w:val="16"/>
                                <w:szCs w:val="16"/>
                              </w:rPr>
                              <w:t>% (</w:t>
                            </w:r>
                            <w:r w:rsidR="00AA3F90" w:rsidRPr="00CC2DB1">
                              <w:rPr>
                                <w:rFonts w:ascii="Garamond" w:hAnsi="Garamond"/>
                                <w:sz w:val="16"/>
                                <w:szCs w:val="16"/>
                              </w:rPr>
                              <w:t>981,107</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810062" w:rsidP="00BF7E11">
                            <w:pPr>
                              <w:rPr>
                                <w:rFonts w:ascii="Garamond" w:hAnsi="Garamond"/>
                                <w:sz w:val="16"/>
                                <w:szCs w:val="16"/>
                              </w:rPr>
                            </w:pPr>
                            <w:r w:rsidRPr="00CC2DB1">
                              <w:rPr>
                                <w:rFonts w:ascii="Garamond" w:hAnsi="Garamond"/>
                                <w:sz w:val="16"/>
                                <w:szCs w:val="16"/>
                              </w:rPr>
                              <w:t>Alcohol only</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20.3% (327,694)</w:t>
                            </w:r>
                          </w:p>
                        </w:tc>
                        <w:tc>
                          <w:tcPr>
                            <w:tcW w:w="360" w:type="dxa"/>
                            <w:tcBorders>
                              <w:top w:val="nil"/>
                              <w:bottom w:val="nil"/>
                            </w:tcBorders>
                            <w:shd w:val="clear" w:color="auto" w:fill="9BC7CE" w:themeFill="accent5" w:themeFillTint="99"/>
                          </w:tcPr>
                          <w:p w:rsidR="0003368C" w:rsidRPr="00CC2DB1" w:rsidRDefault="0003368C" w:rsidP="00BF7E11">
                            <w:pPr>
                              <w:rPr>
                                <w:rFonts w:ascii="Garamond" w:hAnsi="Garamond"/>
                                <w:sz w:val="16"/>
                                <w:szCs w:val="16"/>
                              </w:rPr>
                            </w:pPr>
                          </w:p>
                        </w:tc>
                        <w:tc>
                          <w:tcPr>
                            <w:tcW w:w="1620" w:type="dxa"/>
                            <w:shd w:val="clear" w:color="auto" w:fill="FFFFFF" w:themeFill="background1"/>
                          </w:tcPr>
                          <w:p w:rsidR="0003368C" w:rsidRPr="00CC2DB1" w:rsidRDefault="00D038F6" w:rsidP="00BF7E11">
                            <w:pPr>
                              <w:rPr>
                                <w:rFonts w:ascii="Garamond" w:hAnsi="Garamond"/>
                                <w:sz w:val="16"/>
                                <w:szCs w:val="16"/>
                              </w:rPr>
                            </w:pPr>
                            <w:r w:rsidRPr="00CC2DB1">
                              <w:rPr>
                                <w:rFonts w:ascii="Garamond" w:hAnsi="Garamond"/>
                                <w:sz w:val="16"/>
                                <w:szCs w:val="16"/>
                              </w:rPr>
                              <w:t>18-24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16.6</w:t>
                            </w:r>
                            <w:r w:rsidR="0003368C" w:rsidRPr="00CC2DB1">
                              <w:rPr>
                                <w:rFonts w:ascii="Garamond" w:hAnsi="Garamond"/>
                                <w:sz w:val="16"/>
                                <w:szCs w:val="16"/>
                              </w:rPr>
                              <w:t>% (</w:t>
                            </w:r>
                            <w:r w:rsidRPr="00CC2DB1">
                              <w:rPr>
                                <w:rFonts w:ascii="Garamond" w:hAnsi="Garamond"/>
                                <w:sz w:val="16"/>
                                <w:szCs w:val="16"/>
                              </w:rPr>
                              <w:t>268,319</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BF7E11">
                            <w:pPr>
                              <w:rPr>
                                <w:rFonts w:ascii="Garamond" w:hAnsi="Garamond"/>
                                <w:sz w:val="16"/>
                                <w:szCs w:val="16"/>
                              </w:rPr>
                            </w:pPr>
                          </w:p>
                        </w:tc>
                        <w:tc>
                          <w:tcPr>
                            <w:tcW w:w="1612" w:type="dxa"/>
                            <w:shd w:val="clear" w:color="auto" w:fill="FFFFFF" w:themeFill="background1"/>
                          </w:tcPr>
                          <w:p w:rsidR="0003368C" w:rsidRPr="00CC2DB1" w:rsidRDefault="0003368C" w:rsidP="00BF7E11">
                            <w:pPr>
                              <w:rPr>
                                <w:rFonts w:ascii="Garamond" w:hAnsi="Garamond"/>
                                <w:sz w:val="16"/>
                                <w:szCs w:val="16"/>
                              </w:rPr>
                            </w:pPr>
                            <w:r w:rsidRPr="00CC2DB1">
                              <w:rPr>
                                <w:rFonts w:ascii="Garamond" w:hAnsi="Garamond"/>
                                <w:sz w:val="16"/>
                                <w:szCs w:val="16"/>
                              </w:rPr>
                              <w:t>Black/</w:t>
                            </w:r>
                            <w:proofErr w:type="spellStart"/>
                            <w:r w:rsidRPr="00CC2DB1">
                              <w:rPr>
                                <w:rFonts w:ascii="Garamond" w:hAnsi="Garamond"/>
                                <w:sz w:val="16"/>
                                <w:szCs w:val="16"/>
                              </w:rPr>
                              <w:t>Afr</w:t>
                            </w:r>
                            <w:proofErr w:type="spellEnd"/>
                            <w:r w:rsidRPr="00CC2DB1">
                              <w:rPr>
                                <w:rFonts w:ascii="Garamond" w:hAnsi="Garamond"/>
                                <w:sz w:val="16"/>
                                <w:szCs w:val="16"/>
                              </w:rPr>
                              <w:t xml:space="preserve"> American</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17</w:t>
                            </w:r>
                            <w:r w:rsidR="0003368C" w:rsidRPr="00CC2DB1">
                              <w:rPr>
                                <w:rFonts w:ascii="Garamond" w:hAnsi="Garamond"/>
                                <w:sz w:val="16"/>
                                <w:szCs w:val="16"/>
                              </w:rPr>
                              <w:t>.9%  (</w:t>
                            </w:r>
                            <w:r w:rsidR="00AA3F90" w:rsidRPr="00CC2DB1">
                              <w:rPr>
                                <w:rFonts w:ascii="Garamond" w:hAnsi="Garamond"/>
                                <w:sz w:val="16"/>
                                <w:szCs w:val="16"/>
                              </w:rPr>
                              <w:t>281,403</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810062" w:rsidP="003F4DE2">
                            <w:pPr>
                              <w:rPr>
                                <w:rFonts w:ascii="Garamond" w:hAnsi="Garamond"/>
                                <w:sz w:val="16"/>
                                <w:szCs w:val="16"/>
                              </w:rPr>
                            </w:pPr>
                            <w:r w:rsidRPr="00CC2DB1">
                              <w:rPr>
                                <w:rFonts w:ascii="Garamond" w:hAnsi="Garamond"/>
                                <w:sz w:val="16"/>
                                <w:szCs w:val="16"/>
                              </w:rPr>
                              <w:t>Marijuana</w:t>
                            </w:r>
                          </w:p>
                        </w:tc>
                        <w:tc>
                          <w:tcPr>
                            <w:tcW w:w="1543" w:type="dxa"/>
                            <w:shd w:val="clear" w:color="auto" w:fill="FFFFFF" w:themeFill="background1"/>
                          </w:tcPr>
                          <w:p w:rsidR="0003368C" w:rsidRPr="00CC2DB1" w:rsidRDefault="00810062" w:rsidP="00810062">
                            <w:pPr>
                              <w:rPr>
                                <w:rFonts w:ascii="Garamond" w:hAnsi="Garamond"/>
                                <w:sz w:val="16"/>
                                <w:szCs w:val="16"/>
                              </w:rPr>
                            </w:pPr>
                            <w:r w:rsidRPr="00CC2DB1">
                              <w:rPr>
                                <w:rFonts w:ascii="Garamond" w:hAnsi="Garamond"/>
                                <w:sz w:val="16"/>
                                <w:szCs w:val="16"/>
                              </w:rPr>
                              <w:t>15.3% (247,461)</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2</w:t>
                            </w:r>
                            <w:r w:rsidR="00AA3F90" w:rsidRPr="00CC2DB1">
                              <w:rPr>
                                <w:rFonts w:ascii="Garamond" w:hAnsi="Garamond"/>
                                <w:sz w:val="16"/>
                                <w:szCs w:val="16"/>
                              </w:rPr>
                              <w:t>5-29</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17.2</w:t>
                            </w:r>
                            <w:r w:rsidR="0003368C" w:rsidRPr="00CC2DB1">
                              <w:rPr>
                                <w:rFonts w:ascii="Garamond" w:hAnsi="Garamond"/>
                                <w:sz w:val="16"/>
                                <w:szCs w:val="16"/>
                              </w:rPr>
                              <w:t>%  (</w:t>
                            </w:r>
                            <w:r w:rsidRPr="00CC2DB1">
                              <w:rPr>
                                <w:rFonts w:ascii="Garamond" w:hAnsi="Garamond"/>
                                <w:sz w:val="16"/>
                                <w:szCs w:val="16"/>
                              </w:rPr>
                              <w:t>276,860</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 xml:space="preserve">Am </w:t>
                            </w:r>
                            <w:proofErr w:type="spellStart"/>
                            <w:r w:rsidRPr="00CC2DB1">
                              <w:rPr>
                                <w:rFonts w:ascii="Garamond" w:hAnsi="Garamond"/>
                                <w:sz w:val="16"/>
                                <w:szCs w:val="16"/>
                              </w:rPr>
                              <w:t>Ind</w:t>
                            </w:r>
                            <w:proofErr w:type="spellEnd"/>
                            <w:r w:rsidRPr="00CC2DB1">
                              <w:rPr>
                                <w:rFonts w:ascii="Garamond" w:hAnsi="Garamond"/>
                                <w:sz w:val="16"/>
                                <w:szCs w:val="16"/>
                              </w:rPr>
                              <w:t>/AK Native</w:t>
                            </w:r>
                          </w:p>
                        </w:tc>
                        <w:tc>
                          <w:tcPr>
                            <w:tcW w:w="1538" w:type="dxa"/>
                            <w:gridSpan w:val="2"/>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2.5% (</w:t>
                            </w:r>
                            <w:r w:rsidR="00AA3F90" w:rsidRPr="00CC2DB1">
                              <w:rPr>
                                <w:rFonts w:ascii="Garamond" w:hAnsi="Garamond"/>
                                <w:sz w:val="16"/>
                                <w:szCs w:val="16"/>
                              </w:rPr>
                              <w:t>38,959</w:t>
                            </w:r>
                            <w:r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Other Opiates</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8.2</w:t>
                            </w:r>
                            <w:r w:rsidR="0003368C" w:rsidRPr="00CC2DB1">
                              <w:rPr>
                                <w:rFonts w:ascii="Garamond" w:hAnsi="Garamond"/>
                                <w:sz w:val="16"/>
                                <w:szCs w:val="16"/>
                              </w:rPr>
                              <w:t>% (</w:t>
                            </w:r>
                            <w:r w:rsidR="00810062" w:rsidRPr="00CC2DB1">
                              <w:rPr>
                                <w:rFonts w:ascii="Garamond" w:hAnsi="Garamond"/>
                                <w:sz w:val="16"/>
                                <w:szCs w:val="16"/>
                              </w:rPr>
                              <w:t>132,387</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3</w:t>
                            </w:r>
                            <w:r w:rsidR="00AA3F90" w:rsidRPr="00CC2DB1">
                              <w:rPr>
                                <w:rFonts w:ascii="Garamond" w:hAnsi="Garamond"/>
                                <w:sz w:val="16"/>
                                <w:szCs w:val="16"/>
                              </w:rPr>
                              <w:t>0-34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15.1</w:t>
                            </w:r>
                            <w:r w:rsidR="0003368C" w:rsidRPr="00CC2DB1">
                              <w:rPr>
                                <w:rFonts w:ascii="Garamond" w:hAnsi="Garamond"/>
                                <w:sz w:val="16"/>
                                <w:szCs w:val="16"/>
                              </w:rPr>
                              <w:t>% (</w:t>
                            </w:r>
                            <w:r w:rsidRPr="00CC2DB1">
                              <w:rPr>
                                <w:rFonts w:ascii="Garamond" w:hAnsi="Garamond"/>
                                <w:sz w:val="16"/>
                                <w:szCs w:val="16"/>
                              </w:rPr>
                              <w:t>242,742</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Asian/Pac Islander</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1.0</w:t>
                            </w:r>
                            <w:r w:rsidR="0003368C" w:rsidRPr="00CC2DB1">
                              <w:rPr>
                                <w:rFonts w:ascii="Garamond" w:hAnsi="Garamond"/>
                                <w:sz w:val="16"/>
                                <w:szCs w:val="16"/>
                              </w:rPr>
                              <w:t>% (</w:t>
                            </w:r>
                            <w:r w:rsidR="00AA3F90" w:rsidRPr="00CC2DB1">
                              <w:rPr>
                                <w:rFonts w:ascii="Garamond" w:hAnsi="Garamond"/>
                                <w:sz w:val="16"/>
                                <w:szCs w:val="16"/>
                              </w:rPr>
                              <w:t>16,529</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Amphetamines</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8.9</w:t>
                            </w:r>
                            <w:r w:rsidR="0003368C" w:rsidRPr="00CC2DB1">
                              <w:rPr>
                                <w:rFonts w:ascii="Garamond" w:hAnsi="Garamond"/>
                                <w:sz w:val="16"/>
                                <w:szCs w:val="16"/>
                              </w:rPr>
                              <w:t>% (</w:t>
                            </w:r>
                            <w:r w:rsidR="00810062" w:rsidRPr="00CC2DB1">
                              <w:rPr>
                                <w:rFonts w:ascii="Garamond" w:hAnsi="Garamond"/>
                                <w:sz w:val="16"/>
                                <w:szCs w:val="16"/>
                              </w:rPr>
                              <w:t>144,427</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03368C" w:rsidP="00AA3F90">
                            <w:pPr>
                              <w:rPr>
                                <w:rFonts w:ascii="Garamond" w:hAnsi="Garamond"/>
                                <w:sz w:val="16"/>
                                <w:szCs w:val="16"/>
                              </w:rPr>
                            </w:pPr>
                            <w:r w:rsidRPr="00CC2DB1">
                              <w:rPr>
                                <w:rFonts w:ascii="Garamond" w:hAnsi="Garamond"/>
                                <w:sz w:val="16"/>
                                <w:szCs w:val="16"/>
                              </w:rPr>
                              <w:t>3</w:t>
                            </w:r>
                            <w:r w:rsidR="00AA3F90" w:rsidRPr="00CC2DB1">
                              <w:rPr>
                                <w:rFonts w:ascii="Garamond" w:hAnsi="Garamond"/>
                                <w:sz w:val="16"/>
                                <w:szCs w:val="16"/>
                              </w:rPr>
                              <w:t>5-39</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10.9</w:t>
                            </w:r>
                            <w:r w:rsidR="0003368C" w:rsidRPr="00CC2DB1">
                              <w:rPr>
                                <w:rFonts w:ascii="Garamond" w:hAnsi="Garamond"/>
                                <w:sz w:val="16"/>
                                <w:szCs w:val="16"/>
                              </w:rPr>
                              <w:t>% (17</w:t>
                            </w:r>
                            <w:r w:rsidRPr="00CC2DB1">
                              <w:rPr>
                                <w:rFonts w:ascii="Garamond" w:hAnsi="Garamond"/>
                                <w:sz w:val="16"/>
                                <w:szCs w:val="16"/>
                              </w:rPr>
                              <w:t>5,051</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Hispanic</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13.0</w:t>
                            </w:r>
                            <w:r w:rsidR="0003368C" w:rsidRPr="00CC2DB1">
                              <w:rPr>
                                <w:rFonts w:ascii="Garamond" w:hAnsi="Garamond"/>
                                <w:sz w:val="16"/>
                                <w:szCs w:val="16"/>
                              </w:rPr>
                              <w:t>% (</w:t>
                            </w:r>
                            <w:r w:rsidR="00AA3F90" w:rsidRPr="00CC2DB1">
                              <w:rPr>
                                <w:rFonts w:ascii="Garamond" w:hAnsi="Garamond"/>
                                <w:sz w:val="16"/>
                                <w:szCs w:val="16"/>
                              </w:rPr>
                              <w:t>205,564</w:t>
                            </w:r>
                            <w:r w:rsidR="0003368C" w:rsidRPr="00CC2DB1">
                              <w:rPr>
                                <w:rFonts w:ascii="Garamond" w:hAnsi="Garamond"/>
                                <w:sz w:val="16"/>
                                <w:szCs w:val="16"/>
                              </w:rPr>
                              <w:t>)</w:t>
                            </w:r>
                          </w:p>
                        </w:tc>
                      </w:tr>
                      <w:tr w:rsidR="0003368C" w:rsidRPr="00CC2DB1" w:rsidTr="005D3FC7">
                        <w:trPr>
                          <w:jc w:val="center"/>
                        </w:trPr>
                        <w:tc>
                          <w:tcPr>
                            <w:tcW w:w="1715"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 xml:space="preserve">Cocaine (smoked) </w:t>
                            </w:r>
                          </w:p>
                        </w:tc>
                        <w:tc>
                          <w:tcPr>
                            <w:tcW w:w="1543" w:type="dxa"/>
                            <w:shd w:val="clear" w:color="auto" w:fill="FFFFFF" w:themeFill="background1"/>
                          </w:tcPr>
                          <w:p w:rsidR="0003368C" w:rsidRPr="00CC2DB1" w:rsidRDefault="00A41FA7" w:rsidP="00810062">
                            <w:pPr>
                              <w:rPr>
                                <w:rFonts w:ascii="Garamond" w:hAnsi="Garamond"/>
                                <w:sz w:val="16"/>
                                <w:szCs w:val="16"/>
                              </w:rPr>
                            </w:pPr>
                            <w:r w:rsidRPr="00CC2DB1">
                              <w:rPr>
                                <w:rFonts w:ascii="Garamond" w:hAnsi="Garamond"/>
                                <w:sz w:val="16"/>
                                <w:szCs w:val="16"/>
                              </w:rPr>
                              <w:t>3.6</w:t>
                            </w:r>
                            <w:r w:rsidR="0003368C" w:rsidRPr="00CC2DB1">
                              <w:rPr>
                                <w:rFonts w:ascii="Garamond" w:hAnsi="Garamond"/>
                                <w:sz w:val="16"/>
                                <w:szCs w:val="16"/>
                              </w:rPr>
                              <w:t>% (</w:t>
                            </w:r>
                            <w:r w:rsidR="00810062" w:rsidRPr="00CC2DB1">
                              <w:rPr>
                                <w:rFonts w:ascii="Garamond" w:hAnsi="Garamond"/>
                                <w:sz w:val="16"/>
                                <w:szCs w:val="16"/>
                              </w:rPr>
                              <w:t>57,493</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20" w:type="dxa"/>
                            <w:shd w:val="clear" w:color="auto" w:fill="FFFFFF" w:themeFill="background1"/>
                          </w:tcPr>
                          <w:p w:rsidR="0003368C" w:rsidRPr="00CC2DB1" w:rsidRDefault="00AA3F90" w:rsidP="003F4DE2">
                            <w:pPr>
                              <w:rPr>
                                <w:rFonts w:ascii="Garamond" w:hAnsi="Garamond"/>
                                <w:sz w:val="16"/>
                                <w:szCs w:val="16"/>
                              </w:rPr>
                            </w:pPr>
                            <w:r w:rsidRPr="00CC2DB1">
                              <w:rPr>
                                <w:rFonts w:ascii="Garamond" w:hAnsi="Garamond"/>
                                <w:sz w:val="16"/>
                                <w:szCs w:val="16"/>
                              </w:rPr>
                              <w:t>40-44</w:t>
                            </w:r>
                          </w:p>
                        </w:tc>
                        <w:tc>
                          <w:tcPr>
                            <w:tcW w:w="1530" w:type="dxa"/>
                            <w:shd w:val="clear" w:color="auto" w:fill="FFFFFF" w:themeFill="background1"/>
                          </w:tcPr>
                          <w:p w:rsidR="0003368C" w:rsidRPr="00CC2DB1" w:rsidRDefault="00AA3F90" w:rsidP="00AA3F90">
                            <w:pPr>
                              <w:rPr>
                                <w:rFonts w:ascii="Garamond" w:hAnsi="Garamond"/>
                                <w:sz w:val="16"/>
                                <w:szCs w:val="16"/>
                              </w:rPr>
                            </w:pPr>
                            <w:r w:rsidRPr="00CC2DB1">
                              <w:rPr>
                                <w:rFonts w:ascii="Garamond" w:hAnsi="Garamond"/>
                                <w:sz w:val="16"/>
                                <w:szCs w:val="16"/>
                              </w:rPr>
                              <w:t>9.4</w:t>
                            </w:r>
                            <w:r w:rsidR="0003368C" w:rsidRPr="00CC2DB1">
                              <w:rPr>
                                <w:rFonts w:ascii="Garamond" w:hAnsi="Garamond"/>
                                <w:sz w:val="16"/>
                                <w:szCs w:val="16"/>
                              </w:rPr>
                              <w:t>% (</w:t>
                            </w:r>
                            <w:r w:rsidRPr="00CC2DB1">
                              <w:rPr>
                                <w:rFonts w:ascii="Garamond" w:hAnsi="Garamond"/>
                                <w:sz w:val="16"/>
                                <w:szCs w:val="16"/>
                              </w:rPr>
                              <w:t>151,336</w:t>
                            </w:r>
                            <w:r w:rsidR="0003368C" w:rsidRPr="00CC2DB1">
                              <w:rPr>
                                <w:rFonts w:ascii="Garamond" w:hAnsi="Garamond"/>
                                <w:sz w:val="16"/>
                                <w:szCs w:val="16"/>
                              </w:rPr>
                              <w:t>)</w:t>
                            </w:r>
                          </w:p>
                        </w:tc>
                        <w:tc>
                          <w:tcPr>
                            <w:tcW w:w="360" w:type="dxa"/>
                            <w:tcBorders>
                              <w:top w:val="nil"/>
                              <w:bottom w:val="nil"/>
                            </w:tcBorders>
                            <w:shd w:val="clear" w:color="auto" w:fill="9BC7CE" w:themeFill="accent5" w:themeFillTint="99"/>
                          </w:tcPr>
                          <w:p w:rsidR="0003368C" w:rsidRPr="00CC2DB1" w:rsidRDefault="0003368C" w:rsidP="003F4DE2">
                            <w:pPr>
                              <w:rPr>
                                <w:rFonts w:ascii="Garamond" w:hAnsi="Garamond"/>
                                <w:sz w:val="16"/>
                                <w:szCs w:val="16"/>
                              </w:rPr>
                            </w:pPr>
                          </w:p>
                        </w:tc>
                        <w:tc>
                          <w:tcPr>
                            <w:tcW w:w="1612" w:type="dxa"/>
                            <w:shd w:val="clear" w:color="auto" w:fill="FFFFFF" w:themeFill="background1"/>
                          </w:tcPr>
                          <w:p w:rsidR="0003368C" w:rsidRPr="00CC2DB1" w:rsidRDefault="0003368C" w:rsidP="003F4DE2">
                            <w:pPr>
                              <w:rPr>
                                <w:rFonts w:ascii="Garamond" w:hAnsi="Garamond"/>
                                <w:sz w:val="16"/>
                                <w:szCs w:val="16"/>
                              </w:rPr>
                            </w:pPr>
                            <w:r w:rsidRPr="00CC2DB1">
                              <w:rPr>
                                <w:rFonts w:ascii="Garamond" w:hAnsi="Garamond"/>
                                <w:sz w:val="16"/>
                                <w:szCs w:val="16"/>
                              </w:rPr>
                              <w:t>Other</w:t>
                            </w:r>
                          </w:p>
                        </w:tc>
                        <w:tc>
                          <w:tcPr>
                            <w:tcW w:w="1538" w:type="dxa"/>
                            <w:gridSpan w:val="2"/>
                            <w:shd w:val="clear" w:color="auto" w:fill="FFFFFF" w:themeFill="background1"/>
                          </w:tcPr>
                          <w:p w:rsidR="0003368C" w:rsidRPr="00CC2DB1" w:rsidRDefault="00D53345" w:rsidP="00AA3F90">
                            <w:pPr>
                              <w:rPr>
                                <w:rFonts w:ascii="Garamond" w:hAnsi="Garamond"/>
                                <w:sz w:val="16"/>
                                <w:szCs w:val="16"/>
                              </w:rPr>
                            </w:pPr>
                            <w:r w:rsidRPr="00CC2DB1">
                              <w:rPr>
                                <w:rFonts w:ascii="Garamond" w:hAnsi="Garamond"/>
                                <w:sz w:val="16"/>
                                <w:szCs w:val="16"/>
                              </w:rPr>
                              <w:t>3.3</w:t>
                            </w:r>
                            <w:r w:rsidR="0003368C" w:rsidRPr="00CC2DB1">
                              <w:rPr>
                                <w:rFonts w:ascii="Garamond" w:hAnsi="Garamond"/>
                                <w:sz w:val="16"/>
                                <w:szCs w:val="16"/>
                              </w:rPr>
                              <w:t>% (</w:t>
                            </w:r>
                            <w:r w:rsidR="00AA3F90" w:rsidRPr="00CC2DB1">
                              <w:rPr>
                                <w:rFonts w:ascii="Garamond" w:hAnsi="Garamond"/>
                                <w:sz w:val="16"/>
                                <w:szCs w:val="16"/>
                              </w:rPr>
                              <w:t>51,648</w:t>
                            </w:r>
                            <w:r w:rsidR="0003368C" w:rsidRPr="00CC2DB1">
                              <w:rPr>
                                <w:rFonts w:ascii="Garamond" w:hAnsi="Garamond"/>
                                <w:sz w:val="16"/>
                                <w:szCs w:val="16"/>
                              </w:rPr>
                              <w:t>)</w:t>
                            </w: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Cocaine (other route)</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1.9% (30,017)</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45-49</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9.5% (153,383)</w:t>
                            </w:r>
                          </w:p>
                        </w:tc>
                        <w:tc>
                          <w:tcPr>
                            <w:tcW w:w="360" w:type="dxa"/>
                            <w:tcBorders>
                              <w:top w:val="nil"/>
                              <w:bottom w:val="nil"/>
                              <w:right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vMerge w:val="restart"/>
                            <w:tcBorders>
                              <w:left w:val="nil"/>
                            </w:tcBorders>
                            <w:shd w:val="clear" w:color="auto" w:fill="9BC7CE" w:themeFill="accent5" w:themeFillTint="99"/>
                            <w:vAlign w:val="center"/>
                          </w:tcPr>
                          <w:p w:rsidR="00736E99" w:rsidRPr="00CC2DB1" w:rsidRDefault="00736E99" w:rsidP="00736E99">
                            <w:pPr>
                              <w:jc w:val="center"/>
                              <w:rPr>
                                <w:rFonts w:ascii="Garamond" w:hAnsi="Garamond"/>
                                <w:b/>
                                <w:sz w:val="16"/>
                                <w:szCs w:val="16"/>
                              </w:rPr>
                            </w:pPr>
                            <w:r w:rsidRPr="00CC2DB1">
                              <w:rPr>
                                <w:rFonts w:ascii="Garamond" w:hAnsi="Garamond"/>
                                <w:b/>
                                <w:sz w:val="16"/>
                                <w:szCs w:val="16"/>
                              </w:rPr>
                              <w:t>Gender</w:t>
                            </w:r>
                          </w:p>
                        </w:tc>
                        <w:tc>
                          <w:tcPr>
                            <w:tcW w:w="1530" w:type="dxa"/>
                            <w:vMerge w:val="restart"/>
                            <w:shd w:val="clear" w:color="auto" w:fill="9BC7CE" w:themeFill="accent5" w:themeFillTint="99"/>
                            <w:vAlign w:val="center"/>
                          </w:tcPr>
                          <w:p w:rsidR="00736E99" w:rsidRPr="00CC2DB1" w:rsidRDefault="00736E99" w:rsidP="00736E99">
                            <w:pPr>
                              <w:jc w:val="center"/>
                              <w:rPr>
                                <w:rFonts w:ascii="Garamond" w:hAnsi="Garamond"/>
                                <w:b/>
                                <w:sz w:val="16"/>
                                <w:szCs w:val="16"/>
                              </w:rPr>
                            </w:pPr>
                            <w:r w:rsidRPr="00CC2DB1">
                              <w:rPr>
                                <w:rFonts w:ascii="Garamond" w:hAnsi="Garamond"/>
                                <w:b/>
                                <w:sz w:val="16"/>
                                <w:szCs w:val="16"/>
                              </w:rPr>
                              <w:t>% (estimate)</w:t>
                            </w: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PCP</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0.3% (4,910)</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50-54</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8.5% (137,574)</w:t>
                            </w:r>
                          </w:p>
                        </w:tc>
                        <w:tc>
                          <w:tcPr>
                            <w:tcW w:w="360" w:type="dxa"/>
                            <w:tcBorders>
                              <w:top w:val="nil"/>
                              <w:bottom w:val="nil"/>
                              <w:right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vMerge/>
                            <w:tcBorders>
                              <w:left w:val="nil"/>
                            </w:tcBorders>
                            <w:shd w:val="clear" w:color="auto" w:fill="9BC7CE" w:themeFill="accent5" w:themeFillTint="99"/>
                          </w:tcPr>
                          <w:p w:rsidR="00736E99" w:rsidRPr="00CC2DB1" w:rsidRDefault="00736E99" w:rsidP="00F373AB">
                            <w:pPr>
                              <w:jc w:val="center"/>
                              <w:rPr>
                                <w:rFonts w:ascii="Garamond" w:hAnsi="Garamond"/>
                                <w:b/>
                                <w:sz w:val="16"/>
                                <w:szCs w:val="16"/>
                              </w:rPr>
                            </w:pPr>
                          </w:p>
                        </w:tc>
                        <w:tc>
                          <w:tcPr>
                            <w:tcW w:w="1530" w:type="dxa"/>
                            <w:vMerge/>
                            <w:shd w:val="clear" w:color="auto" w:fill="9BC7CE" w:themeFill="accent5" w:themeFillTint="99"/>
                          </w:tcPr>
                          <w:p w:rsidR="00736E99" w:rsidRPr="00CC2DB1" w:rsidRDefault="00736E99" w:rsidP="00F373AB">
                            <w:pPr>
                              <w:jc w:val="center"/>
                              <w:rPr>
                                <w:rFonts w:ascii="Garamond" w:hAnsi="Garamond"/>
                                <w:b/>
                                <w:sz w:val="16"/>
                                <w:szCs w:val="16"/>
                              </w:rPr>
                            </w:pPr>
                          </w:p>
                        </w:tc>
                      </w:tr>
                      <w:tr w:rsidR="00736E99" w:rsidRPr="00CC2DB1" w:rsidTr="005D3FC7">
                        <w:trPr>
                          <w:gridAfter w:val="1"/>
                          <w:wAfter w:w="8" w:type="dxa"/>
                          <w:jc w:val="center"/>
                        </w:trPr>
                        <w:tc>
                          <w:tcPr>
                            <w:tcW w:w="1715"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Hallucinogens</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0.1% (1,864)</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20" w:type="dxa"/>
                            <w:shd w:val="clear" w:color="auto" w:fill="FFFFFF" w:themeFill="background1"/>
                          </w:tcPr>
                          <w:p w:rsidR="00736E99" w:rsidRPr="00CC2DB1" w:rsidRDefault="00736E99" w:rsidP="00BF7E11">
                            <w:pPr>
                              <w:rPr>
                                <w:rFonts w:ascii="Garamond" w:hAnsi="Garamond"/>
                                <w:sz w:val="16"/>
                                <w:szCs w:val="16"/>
                              </w:rPr>
                            </w:pPr>
                            <w:r w:rsidRPr="00CC2DB1">
                              <w:rPr>
                                <w:rFonts w:ascii="Garamond" w:hAnsi="Garamond"/>
                                <w:sz w:val="16"/>
                                <w:szCs w:val="16"/>
                              </w:rPr>
                              <w:t>55-59</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4.9% (79,559)</w:t>
                            </w:r>
                          </w:p>
                        </w:tc>
                        <w:tc>
                          <w:tcPr>
                            <w:tcW w:w="360" w:type="dxa"/>
                            <w:tcBorders>
                              <w:top w:val="nil"/>
                              <w:bottom w:val="nil"/>
                            </w:tcBorders>
                            <w:shd w:val="clear" w:color="auto" w:fill="9BC7CE" w:themeFill="accent5" w:themeFillTint="99"/>
                          </w:tcPr>
                          <w:p w:rsidR="00736E99" w:rsidRPr="00CC2DB1" w:rsidRDefault="00736E99" w:rsidP="00BF7E11">
                            <w:pPr>
                              <w:rPr>
                                <w:rFonts w:ascii="Garamond" w:hAnsi="Garamond"/>
                                <w:sz w:val="16"/>
                                <w:szCs w:val="16"/>
                              </w:rPr>
                            </w:pPr>
                          </w:p>
                        </w:tc>
                        <w:tc>
                          <w:tcPr>
                            <w:tcW w:w="1612"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Male</w:t>
                            </w:r>
                          </w:p>
                        </w:tc>
                        <w:tc>
                          <w:tcPr>
                            <w:tcW w:w="1530" w:type="dxa"/>
                            <w:shd w:val="clear" w:color="auto" w:fill="FFFFFF" w:themeFill="background1"/>
                          </w:tcPr>
                          <w:p w:rsidR="00736E99" w:rsidRPr="00CC2DB1" w:rsidRDefault="00736E99" w:rsidP="00D53345">
                            <w:pPr>
                              <w:rPr>
                                <w:rFonts w:ascii="Garamond" w:hAnsi="Garamond"/>
                                <w:sz w:val="16"/>
                                <w:szCs w:val="16"/>
                              </w:rPr>
                            </w:pPr>
                            <w:r w:rsidRPr="00CC2DB1">
                              <w:rPr>
                                <w:rFonts w:ascii="Garamond" w:hAnsi="Garamond"/>
                                <w:sz w:val="16"/>
                                <w:szCs w:val="16"/>
                              </w:rPr>
                              <w:t>66.4% (1,068,950)</w:t>
                            </w:r>
                          </w:p>
                        </w:tc>
                      </w:tr>
                      <w:tr w:rsidR="00736E99" w:rsidRPr="00CC2DB1" w:rsidTr="005939D7">
                        <w:trPr>
                          <w:gridAfter w:val="1"/>
                          <w:wAfter w:w="8" w:type="dxa"/>
                          <w:jc w:val="center"/>
                        </w:trPr>
                        <w:tc>
                          <w:tcPr>
                            <w:tcW w:w="1715" w:type="dxa"/>
                            <w:shd w:val="clear" w:color="auto" w:fill="FFFFFF" w:themeFill="background1"/>
                          </w:tcPr>
                          <w:p w:rsidR="00736E99" w:rsidRPr="00CC2DB1" w:rsidRDefault="00736E99" w:rsidP="003F4DE2">
                            <w:pPr>
                              <w:rPr>
                                <w:rFonts w:ascii="Garamond" w:hAnsi="Garamond"/>
                                <w:sz w:val="16"/>
                                <w:szCs w:val="16"/>
                              </w:rPr>
                            </w:pPr>
                            <w:r w:rsidRPr="00CC2DB1">
                              <w:rPr>
                                <w:rFonts w:ascii="Garamond" w:hAnsi="Garamond"/>
                                <w:sz w:val="16"/>
                                <w:szCs w:val="16"/>
                              </w:rPr>
                              <w:t>Inhalants</w:t>
                            </w:r>
                          </w:p>
                        </w:tc>
                        <w:tc>
                          <w:tcPr>
                            <w:tcW w:w="1543" w:type="dxa"/>
                            <w:shd w:val="clear" w:color="auto" w:fill="FFFFFF" w:themeFill="background1"/>
                          </w:tcPr>
                          <w:p w:rsidR="00736E99" w:rsidRPr="00CC2DB1" w:rsidRDefault="00736E99" w:rsidP="00810062">
                            <w:pPr>
                              <w:rPr>
                                <w:rFonts w:ascii="Garamond" w:hAnsi="Garamond"/>
                                <w:sz w:val="16"/>
                                <w:szCs w:val="16"/>
                              </w:rPr>
                            </w:pPr>
                            <w:r w:rsidRPr="00CC2DB1">
                              <w:rPr>
                                <w:rFonts w:ascii="Garamond" w:hAnsi="Garamond"/>
                                <w:sz w:val="16"/>
                                <w:szCs w:val="16"/>
                              </w:rPr>
                              <w:t>&lt;.05% (791)</w:t>
                            </w:r>
                          </w:p>
                        </w:tc>
                        <w:tc>
                          <w:tcPr>
                            <w:tcW w:w="360" w:type="dxa"/>
                            <w:tcBorders>
                              <w:top w:val="nil"/>
                              <w:bottom w:val="nil"/>
                            </w:tcBorders>
                            <w:shd w:val="clear" w:color="auto" w:fill="9BC7CE" w:themeFill="accent5" w:themeFillTint="99"/>
                          </w:tcPr>
                          <w:p w:rsidR="00736E99" w:rsidRPr="00CC2DB1" w:rsidRDefault="00736E99" w:rsidP="003F4DE2">
                            <w:pPr>
                              <w:rPr>
                                <w:rFonts w:ascii="Garamond" w:hAnsi="Garamond"/>
                                <w:sz w:val="16"/>
                                <w:szCs w:val="16"/>
                              </w:rPr>
                            </w:pPr>
                          </w:p>
                        </w:tc>
                        <w:tc>
                          <w:tcPr>
                            <w:tcW w:w="162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60 and older</w:t>
                            </w:r>
                          </w:p>
                        </w:tc>
                        <w:tc>
                          <w:tcPr>
                            <w:tcW w:w="1530" w:type="dxa"/>
                            <w:shd w:val="clear" w:color="auto" w:fill="FFFFFF" w:themeFill="background1"/>
                          </w:tcPr>
                          <w:p w:rsidR="00736E99" w:rsidRPr="00CC2DB1" w:rsidRDefault="00736E99" w:rsidP="00AA3F90">
                            <w:pPr>
                              <w:rPr>
                                <w:rFonts w:ascii="Garamond" w:hAnsi="Garamond"/>
                                <w:sz w:val="16"/>
                                <w:szCs w:val="16"/>
                              </w:rPr>
                            </w:pPr>
                            <w:r w:rsidRPr="00CC2DB1">
                              <w:rPr>
                                <w:rFonts w:ascii="Garamond" w:hAnsi="Garamond"/>
                                <w:sz w:val="16"/>
                                <w:szCs w:val="16"/>
                              </w:rPr>
                              <w:t>3.0% (48,211)</w:t>
                            </w:r>
                          </w:p>
                        </w:tc>
                        <w:tc>
                          <w:tcPr>
                            <w:tcW w:w="360" w:type="dxa"/>
                            <w:tcBorders>
                              <w:top w:val="nil"/>
                              <w:bottom w:val="nil"/>
                            </w:tcBorders>
                            <w:shd w:val="clear" w:color="auto" w:fill="9BC7CE" w:themeFill="accent5" w:themeFillTint="99"/>
                          </w:tcPr>
                          <w:p w:rsidR="00736E99" w:rsidRPr="00CC2DB1" w:rsidRDefault="00736E99" w:rsidP="003F4DE2">
                            <w:pPr>
                              <w:rPr>
                                <w:rFonts w:ascii="Garamond" w:hAnsi="Garamond"/>
                                <w:sz w:val="16"/>
                                <w:szCs w:val="16"/>
                              </w:rPr>
                            </w:pPr>
                          </w:p>
                        </w:tc>
                        <w:tc>
                          <w:tcPr>
                            <w:tcW w:w="1612"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Female</w:t>
                            </w:r>
                          </w:p>
                        </w:tc>
                        <w:tc>
                          <w:tcPr>
                            <w:tcW w:w="1530" w:type="dxa"/>
                            <w:shd w:val="clear" w:color="auto" w:fill="FFFFFF" w:themeFill="background1"/>
                          </w:tcPr>
                          <w:p w:rsidR="00736E99" w:rsidRPr="00CC2DB1" w:rsidRDefault="00736E99" w:rsidP="00F373AB">
                            <w:pPr>
                              <w:rPr>
                                <w:rFonts w:ascii="Garamond" w:hAnsi="Garamond"/>
                                <w:sz w:val="16"/>
                                <w:szCs w:val="16"/>
                              </w:rPr>
                            </w:pPr>
                            <w:r w:rsidRPr="00CC2DB1">
                              <w:rPr>
                                <w:rFonts w:ascii="Garamond" w:hAnsi="Garamond"/>
                                <w:sz w:val="16"/>
                                <w:szCs w:val="16"/>
                              </w:rPr>
                              <w:t>33.6%  (541,502)</w:t>
                            </w:r>
                          </w:p>
                        </w:tc>
                      </w:tr>
                      <w:tr w:rsidR="005939D7" w:rsidRPr="00CC2DB1" w:rsidTr="005939D7">
                        <w:trPr>
                          <w:gridAfter w:val="1"/>
                          <w:wAfter w:w="8" w:type="dxa"/>
                          <w:jc w:val="center"/>
                        </w:trPr>
                        <w:tc>
                          <w:tcPr>
                            <w:tcW w:w="1715" w:type="dxa"/>
                            <w:tcBorders>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543" w:type="dxa"/>
                            <w:tcBorders>
                              <w:left w:val="nil"/>
                              <w:right w:val="nil"/>
                            </w:tcBorders>
                            <w:shd w:val="clear" w:color="auto" w:fill="9BC7CE" w:themeFill="accent5" w:themeFillTint="99"/>
                          </w:tcPr>
                          <w:p w:rsidR="005939D7" w:rsidRPr="00CC2DB1" w:rsidRDefault="005939D7" w:rsidP="00810062">
                            <w:pPr>
                              <w:rPr>
                                <w:rFonts w:ascii="Garamond" w:hAnsi="Garamond"/>
                                <w:sz w:val="16"/>
                                <w:szCs w:val="16"/>
                              </w:rPr>
                            </w:pPr>
                          </w:p>
                        </w:tc>
                        <w:tc>
                          <w:tcPr>
                            <w:tcW w:w="360" w:type="dxa"/>
                            <w:tcBorders>
                              <w:top w:val="nil"/>
                              <w:left w:val="nil"/>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620" w:type="dxa"/>
                            <w:tcBorders>
                              <w:left w:val="nil"/>
                              <w:right w:val="nil"/>
                            </w:tcBorders>
                            <w:shd w:val="clear" w:color="auto" w:fill="9BC7CE" w:themeFill="accent5" w:themeFillTint="99"/>
                          </w:tcPr>
                          <w:p w:rsidR="005939D7" w:rsidRPr="00CC2DB1" w:rsidRDefault="005939D7" w:rsidP="00AA3F90">
                            <w:pPr>
                              <w:rPr>
                                <w:rFonts w:ascii="Garamond" w:hAnsi="Garamond"/>
                                <w:sz w:val="16"/>
                                <w:szCs w:val="16"/>
                              </w:rPr>
                            </w:pPr>
                          </w:p>
                        </w:tc>
                        <w:tc>
                          <w:tcPr>
                            <w:tcW w:w="1530" w:type="dxa"/>
                            <w:tcBorders>
                              <w:left w:val="nil"/>
                              <w:right w:val="nil"/>
                            </w:tcBorders>
                            <w:shd w:val="clear" w:color="auto" w:fill="9BC7CE" w:themeFill="accent5" w:themeFillTint="99"/>
                          </w:tcPr>
                          <w:p w:rsidR="005939D7" w:rsidRPr="00CC2DB1" w:rsidRDefault="005939D7" w:rsidP="00AA3F90">
                            <w:pPr>
                              <w:rPr>
                                <w:rFonts w:ascii="Garamond" w:hAnsi="Garamond"/>
                                <w:sz w:val="16"/>
                                <w:szCs w:val="16"/>
                              </w:rPr>
                            </w:pPr>
                          </w:p>
                        </w:tc>
                        <w:tc>
                          <w:tcPr>
                            <w:tcW w:w="360" w:type="dxa"/>
                            <w:tcBorders>
                              <w:top w:val="nil"/>
                              <w:left w:val="nil"/>
                              <w:right w:val="nil"/>
                            </w:tcBorders>
                            <w:shd w:val="clear" w:color="auto" w:fill="9BC7CE" w:themeFill="accent5" w:themeFillTint="99"/>
                          </w:tcPr>
                          <w:p w:rsidR="005939D7" w:rsidRPr="00CC2DB1" w:rsidRDefault="005939D7" w:rsidP="003F4DE2">
                            <w:pPr>
                              <w:rPr>
                                <w:rFonts w:ascii="Garamond" w:hAnsi="Garamond"/>
                                <w:sz w:val="16"/>
                                <w:szCs w:val="16"/>
                              </w:rPr>
                            </w:pPr>
                          </w:p>
                        </w:tc>
                        <w:tc>
                          <w:tcPr>
                            <w:tcW w:w="1612" w:type="dxa"/>
                            <w:tcBorders>
                              <w:left w:val="nil"/>
                              <w:right w:val="nil"/>
                            </w:tcBorders>
                            <w:shd w:val="clear" w:color="auto" w:fill="9BC7CE" w:themeFill="accent5" w:themeFillTint="99"/>
                          </w:tcPr>
                          <w:p w:rsidR="005939D7" w:rsidRPr="00CC2DB1" w:rsidRDefault="005939D7" w:rsidP="00F373AB">
                            <w:pPr>
                              <w:rPr>
                                <w:rFonts w:ascii="Garamond" w:hAnsi="Garamond"/>
                                <w:sz w:val="16"/>
                                <w:szCs w:val="16"/>
                              </w:rPr>
                            </w:pPr>
                          </w:p>
                        </w:tc>
                        <w:tc>
                          <w:tcPr>
                            <w:tcW w:w="1530" w:type="dxa"/>
                            <w:tcBorders>
                              <w:left w:val="nil"/>
                            </w:tcBorders>
                            <w:shd w:val="clear" w:color="auto" w:fill="9BC7CE" w:themeFill="accent5" w:themeFillTint="99"/>
                          </w:tcPr>
                          <w:p w:rsidR="005939D7" w:rsidRPr="00CC2DB1" w:rsidRDefault="005939D7" w:rsidP="00F373AB">
                            <w:pPr>
                              <w:rPr>
                                <w:rFonts w:ascii="Garamond" w:hAnsi="Garamond"/>
                                <w:sz w:val="16"/>
                                <w:szCs w:val="16"/>
                              </w:rPr>
                            </w:pPr>
                          </w:p>
                        </w:tc>
                      </w:tr>
                    </w:tbl>
                    <w:p w:rsidR="00BF7E11" w:rsidRPr="00BF7E11" w:rsidRDefault="00BF7E11">
                      <w:pPr>
                        <w:rPr>
                          <w:rFonts w:asciiTheme="majorHAnsi" w:hAnsiTheme="majorHAnsi"/>
                          <w:b/>
                          <w:sz w:val="18"/>
                          <w:szCs w:val="18"/>
                        </w:rPr>
                      </w:pPr>
                    </w:p>
                  </w:txbxContent>
                </v:textbox>
                <w10:wrap type="square"/>
              </v:shape>
            </w:pict>
          </mc:Fallback>
        </mc:AlternateContent>
      </w:r>
      <w:r w:rsidR="00D263A6" w:rsidRPr="00CC2DB1">
        <w:rPr>
          <w:rFonts w:ascii="Garamond" w:hAnsi="Garamond"/>
          <w:sz w:val="19"/>
          <w:szCs w:val="19"/>
        </w:rPr>
        <w:t>SAPT Block Grant funded treatment programs must directly (or through arrangements) make tuberculosis services available to everyone who receives treatment. TB services include counseling, testing, and clinically appropriate treatment.</w:t>
      </w:r>
      <w:r w:rsidR="00ED4D1E" w:rsidRPr="00CC2DB1">
        <w:rPr>
          <w:rFonts w:ascii="Garamond" w:hAnsi="Garamond"/>
          <w:i/>
          <w:sz w:val="19"/>
          <w:szCs w:val="19"/>
        </w:rPr>
        <w:t xml:space="preserve"> </w:t>
      </w:r>
    </w:p>
    <w:p w:rsidR="00EC6296" w:rsidRPr="00CC2DB1" w:rsidRDefault="00EC6296" w:rsidP="00EC6296">
      <w:pPr>
        <w:rPr>
          <w:rFonts w:ascii="Garamond" w:hAnsi="Garamond" w:cs="Times New Roman"/>
          <w:b/>
          <w:color w:val="5AA2AE" w:themeColor="accent5"/>
          <w:sz w:val="19"/>
          <w:szCs w:val="19"/>
        </w:rPr>
      </w:pPr>
    </w:p>
    <w:p w:rsidR="00EC6296" w:rsidRPr="00CC2DB1" w:rsidRDefault="00EC6296" w:rsidP="00EC6296">
      <w:pPr>
        <w:rPr>
          <w:rFonts w:ascii="Garamond" w:hAnsi="Garamond" w:cs="Times New Roman"/>
          <w:b/>
          <w:color w:val="5AA2AE" w:themeColor="accent5"/>
          <w:sz w:val="19"/>
          <w:szCs w:val="19"/>
        </w:rPr>
      </w:pPr>
      <w:r w:rsidRPr="00CC2DB1">
        <w:rPr>
          <w:rFonts w:ascii="Garamond" w:hAnsi="Garamond" w:cs="Times New Roman"/>
          <w:b/>
          <w:color w:val="5AA2AE" w:themeColor="accent5"/>
          <w:sz w:val="19"/>
          <w:szCs w:val="19"/>
        </w:rPr>
        <w:t xml:space="preserve">Role of State Substance Abuse Agencies </w:t>
      </w:r>
    </w:p>
    <w:p w:rsidR="00EC6296" w:rsidRPr="00CC2DB1" w:rsidRDefault="00EC6296" w:rsidP="00EC6296">
      <w:pPr>
        <w:rPr>
          <w:rFonts w:ascii="Garamond" w:hAnsi="Garamond" w:cs="Times New Roman"/>
          <w:sz w:val="19"/>
          <w:szCs w:val="19"/>
        </w:rPr>
      </w:pPr>
      <w:r w:rsidRPr="00CC2DB1">
        <w:rPr>
          <w:rFonts w:ascii="Garamond" w:hAnsi="Garamond" w:cs="Times New Roman"/>
          <w:sz w:val="19"/>
          <w:szCs w:val="19"/>
        </w:rPr>
        <w:t>NASADAD represents State substance use disorder agency directors from the fifty States, the District of Columbia, and the five U.S. Territories. States work with counties and local communities to ensure that public dollars are dedicated to effective programs using tools such as: performance data management and reporting, contract monitoring, corrective action planning, onsite reviews, and technical assistance to community coalitions. State substance abuse agencies work with providers to use evidence-based prevention practices.</w:t>
      </w:r>
      <w:r w:rsidRPr="00CC2DB1">
        <w:rPr>
          <w:rFonts w:ascii="Garamond" w:hAnsi="Garamond"/>
          <w:noProof/>
          <w:sz w:val="19"/>
          <w:szCs w:val="19"/>
        </w:rPr>
        <w:t xml:space="preserve"> </w:t>
      </w:r>
    </w:p>
    <w:p w:rsidR="00962E2F" w:rsidRPr="00CC2DB1" w:rsidRDefault="00962E2F" w:rsidP="00962E2F">
      <w:pPr>
        <w:rPr>
          <w:rFonts w:ascii="Garamond" w:hAnsi="Garamond"/>
          <w:i/>
          <w:sz w:val="12"/>
          <w:szCs w:val="10"/>
        </w:rPr>
      </w:pPr>
    </w:p>
    <w:sectPr w:rsidR="00962E2F" w:rsidRPr="00CC2DB1" w:rsidSect="00EC6296">
      <w:footerReference w:type="even" r:id="rId12"/>
      <w:type w:val="continuous"/>
      <w:pgSz w:w="12240" w:h="15840"/>
      <w:pgMar w:top="1008" w:right="900" w:bottom="720" w:left="1008" w:header="432" w:footer="432"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23" w:rsidRDefault="00045623" w:rsidP="00513F83">
      <w:r>
        <w:separator/>
      </w:r>
    </w:p>
  </w:endnote>
  <w:endnote w:type="continuationSeparator" w:id="0">
    <w:p w:rsidR="00045623" w:rsidRDefault="00045623" w:rsidP="0051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AB" w:rsidRDefault="008D5AAB">
    <w:pPr>
      <w:pStyle w:val="Footer"/>
      <w:jc w:val="right"/>
    </w:pPr>
  </w:p>
  <w:p w:rsidR="008D5AAB" w:rsidRDefault="008D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96" w:rsidRDefault="00EC6296">
    <w:pPr>
      <w:pStyle w:val="Footer"/>
      <w:jc w:val="right"/>
    </w:pPr>
    <w:r w:rsidRPr="00FE76D8">
      <w:rPr>
        <w:rFonts w:asciiTheme="majorHAnsi" w:hAnsiTheme="majorHAnsi"/>
        <w:noProof/>
        <w:sz w:val="16"/>
        <w:szCs w:val="16"/>
      </w:rPr>
      <mc:AlternateContent>
        <mc:Choice Requires="wps">
          <w:drawing>
            <wp:anchor distT="0" distB="0" distL="114300" distR="114300" simplePos="0" relativeHeight="251659264" behindDoc="0" locked="0" layoutInCell="1" allowOverlap="1" wp14:anchorId="7DF4FC9F" wp14:editId="3A8C5566">
              <wp:simplePos x="0" y="0"/>
              <wp:positionH relativeFrom="column">
                <wp:posOffset>617220</wp:posOffset>
              </wp:positionH>
              <wp:positionV relativeFrom="paragraph">
                <wp:posOffset>-222885</wp:posOffset>
              </wp:positionV>
              <wp:extent cx="5524500" cy="388961"/>
              <wp:effectExtent l="95250" t="38100" r="57150" b="1066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8961"/>
                      </a:xfrm>
                      <a:prstGeom prst="rect">
                        <a:avLst/>
                      </a:prstGeom>
                      <a:solidFill>
                        <a:srgbClr val="FFFFFF"/>
                      </a:solidFill>
                      <a:ln w="9525">
                        <a:solidFill>
                          <a:schemeClr val="accent4"/>
                        </a:solidFill>
                        <a:miter lim="800000"/>
                        <a:headEnd/>
                        <a:tailEnd/>
                      </a:ln>
                      <a:effectLst>
                        <a:outerShdw blurRad="50800" dist="38100" dir="8100000" algn="tr" rotWithShape="0">
                          <a:prstClr val="black">
                            <a:alpha val="40000"/>
                          </a:prstClr>
                        </a:outerShdw>
                      </a:effectLst>
                    </wps:spPr>
                    <wps:txbx>
                      <w:txbxContent>
                        <w:p w:rsidR="00EC6296" w:rsidRPr="00F0292A" w:rsidRDefault="00EC6296" w:rsidP="00EC6296">
                          <w:pPr>
                            <w:jc w:val="center"/>
                            <w:rPr>
                              <w:rFonts w:ascii="Garamond" w:hAnsi="Garamond"/>
                              <w:sz w:val="18"/>
                              <w:szCs w:val="18"/>
                            </w:rPr>
                          </w:pPr>
                          <w:r w:rsidRPr="00F0292A">
                            <w:rPr>
                              <w:rFonts w:ascii="Garamond" w:hAnsi="Garamond"/>
                              <w:sz w:val="18"/>
                              <w:szCs w:val="18"/>
                            </w:rPr>
                            <w:t xml:space="preserve">NASADAD Contact Information: Robert Morrison, Executive Director, (202)293-0090 or </w:t>
                          </w:r>
                          <w:hyperlink r:id="rId1" w:history="1">
                            <w:r w:rsidRPr="00F0292A">
                              <w:rPr>
                                <w:rStyle w:val="Hyperlink"/>
                                <w:rFonts w:ascii="Garamond" w:hAnsi="Garamond"/>
                                <w:color w:val="374C80" w:themeColor="accent4" w:themeShade="BF"/>
                                <w:sz w:val="18"/>
                                <w:szCs w:val="18"/>
                              </w:rPr>
                              <w:t>rmorrison@nasadad.org</w:t>
                            </w:r>
                          </w:hyperlink>
                          <w:r w:rsidRPr="00F0292A">
                            <w:rPr>
                              <w:rFonts w:ascii="Garamond" w:hAnsi="Garamond"/>
                              <w:sz w:val="18"/>
                              <w:szCs w:val="18"/>
                            </w:rPr>
                            <w:t>.</w:t>
                          </w:r>
                        </w:p>
                        <w:p w:rsidR="00EC6296" w:rsidRPr="00F0292A" w:rsidRDefault="00EC6296" w:rsidP="00EC6296">
                          <w:pPr>
                            <w:jc w:val="center"/>
                            <w:rPr>
                              <w:rFonts w:ascii="Garamond" w:hAnsi="Garamond"/>
                              <w:sz w:val="18"/>
                              <w:szCs w:val="18"/>
                            </w:rPr>
                          </w:pPr>
                          <w:r w:rsidRPr="00F0292A">
                            <w:rPr>
                              <w:rFonts w:ascii="Garamond" w:hAnsi="Garamond"/>
                              <w:sz w:val="18"/>
                              <w:szCs w:val="18"/>
                            </w:rPr>
                            <w:t>Sh</w:t>
                          </w:r>
                          <w:r w:rsidR="00F10A7C" w:rsidRPr="00F0292A">
                            <w:rPr>
                              <w:rFonts w:ascii="Garamond" w:hAnsi="Garamond"/>
                              <w:sz w:val="18"/>
                              <w:szCs w:val="18"/>
                            </w:rPr>
                            <w:t>alini Wickramatilake-Templeman, Federal Affairs Manager</w:t>
                          </w:r>
                          <w:r w:rsidRPr="00F0292A">
                            <w:rPr>
                              <w:rFonts w:ascii="Garamond" w:hAnsi="Garamond"/>
                              <w:sz w:val="18"/>
                              <w:szCs w:val="18"/>
                            </w:rPr>
                            <w:t xml:space="preserve">, (202) 293-0090 or </w:t>
                          </w:r>
                          <w:hyperlink r:id="rId2" w:history="1">
                            <w:r w:rsidRPr="00F0292A">
                              <w:rPr>
                                <w:rStyle w:val="Hyperlink"/>
                                <w:rFonts w:ascii="Garamond" w:hAnsi="Garamond"/>
                                <w:color w:val="374C80" w:themeColor="accent4" w:themeShade="BF"/>
                                <w:sz w:val="18"/>
                                <w:szCs w:val="18"/>
                              </w:rPr>
                              <w:t>swickramatilake@nasadad.org</w:t>
                            </w:r>
                          </w:hyperlink>
                          <w:r w:rsidRPr="00F0292A">
                            <w:rPr>
                              <w:rFonts w:ascii="Garamond" w:hAnsi="Garamond"/>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4FC9F" id="_x0000_t202" coordsize="21600,21600" o:spt="202" path="m,l,21600r21600,l21600,xe">
              <v:stroke joinstyle="miter"/>
              <v:path gradientshapeok="t" o:connecttype="rect"/>
            </v:shapetype>
            <v:shape id="Text Box 5" o:spid="_x0000_s1030" type="#_x0000_t202" style="position:absolute;left:0;text-align:left;margin-left:48.6pt;margin-top:-17.55pt;width:43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" strokecolor="#4a66ac [3207]">
              <v:shadow on="t" color="black" opacity="26214f" origin=".5,-.5" offset="-.74836mm,.74836mm"/>
              <v:textbox>
                <w:txbxContent>
                  <w:p w:rsidR="00EC6296" w:rsidRPr="00F0292A" w:rsidRDefault="00EC6296" w:rsidP="00EC6296">
                    <w:pPr>
                      <w:jc w:val="center"/>
                      <w:rPr>
                        <w:rFonts w:ascii="Garamond" w:hAnsi="Garamond"/>
                        <w:sz w:val="18"/>
                        <w:szCs w:val="18"/>
                      </w:rPr>
                    </w:pPr>
                    <w:r w:rsidRPr="00F0292A">
                      <w:rPr>
                        <w:rFonts w:ascii="Garamond" w:hAnsi="Garamond"/>
                        <w:sz w:val="18"/>
                        <w:szCs w:val="18"/>
                      </w:rPr>
                      <w:t xml:space="preserve">NASADAD Contact Information: Robert Morrison, Executive Director, (202)293-0090 or </w:t>
                    </w:r>
                    <w:hyperlink r:id="rId3" w:history="1">
                      <w:r w:rsidRPr="00F0292A">
                        <w:rPr>
                          <w:rStyle w:val="Hyperlink"/>
                          <w:rFonts w:ascii="Garamond" w:hAnsi="Garamond"/>
                          <w:color w:val="374C80" w:themeColor="accent4" w:themeShade="BF"/>
                          <w:sz w:val="18"/>
                          <w:szCs w:val="18"/>
                        </w:rPr>
                        <w:t>rmorrison@nasadad.org</w:t>
                      </w:r>
                    </w:hyperlink>
                    <w:r w:rsidRPr="00F0292A">
                      <w:rPr>
                        <w:rFonts w:ascii="Garamond" w:hAnsi="Garamond"/>
                        <w:sz w:val="18"/>
                        <w:szCs w:val="18"/>
                      </w:rPr>
                      <w:t>.</w:t>
                    </w:r>
                  </w:p>
                  <w:p w:rsidR="00EC6296" w:rsidRPr="00F0292A" w:rsidRDefault="00EC6296" w:rsidP="00EC6296">
                    <w:pPr>
                      <w:jc w:val="center"/>
                      <w:rPr>
                        <w:rFonts w:ascii="Garamond" w:hAnsi="Garamond"/>
                        <w:sz w:val="18"/>
                        <w:szCs w:val="18"/>
                      </w:rPr>
                    </w:pPr>
                    <w:r w:rsidRPr="00F0292A">
                      <w:rPr>
                        <w:rFonts w:ascii="Garamond" w:hAnsi="Garamond"/>
                        <w:sz w:val="18"/>
                        <w:szCs w:val="18"/>
                      </w:rPr>
                      <w:t>Sh</w:t>
                    </w:r>
                    <w:r w:rsidR="00F10A7C" w:rsidRPr="00F0292A">
                      <w:rPr>
                        <w:rFonts w:ascii="Garamond" w:hAnsi="Garamond"/>
                        <w:sz w:val="18"/>
                        <w:szCs w:val="18"/>
                      </w:rPr>
                      <w:t>alini Wickramatilake-Templeman, Federal Affairs Manager</w:t>
                    </w:r>
                    <w:r w:rsidRPr="00F0292A">
                      <w:rPr>
                        <w:rFonts w:ascii="Garamond" w:hAnsi="Garamond"/>
                        <w:sz w:val="18"/>
                        <w:szCs w:val="18"/>
                      </w:rPr>
                      <w:t xml:space="preserve">, (202) 293-0090 or </w:t>
                    </w:r>
                    <w:hyperlink r:id="rId4" w:history="1">
                      <w:r w:rsidRPr="00F0292A">
                        <w:rPr>
                          <w:rStyle w:val="Hyperlink"/>
                          <w:rFonts w:ascii="Garamond" w:hAnsi="Garamond"/>
                          <w:color w:val="374C80" w:themeColor="accent4" w:themeShade="BF"/>
                          <w:sz w:val="18"/>
                          <w:szCs w:val="18"/>
                        </w:rPr>
                        <w:t>swickramatilake@nasadad.org</w:t>
                      </w:r>
                    </w:hyperlink>
                    <w:r w:rsidRPr="00F0292A">
                      <w:rPr>
                        <w:rFonts w:ascii="Garamond" w:hAnsi="Garamond"/>
                        <w:sz w:val="18"/>
                        <w:szCs w:val="18"/>
                      </w:rPr>
                      <w:t>.</w:t>
                    </w:r>
                  </w:p>
                </w:txbxContent>
              </v:textbox>
            </v:shape>
          </w:pict>
        </mc:Fallback>
      </mc:AlternateContent>
    </w:r>
  </w:p>
  <w:p w:rsidR="00EC6296" w:rsidRDefault="00EC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23" w:rsidRDefault="00045623" w:rsidP="00513F83">
      <w:r>
        <w:separator/>
      </w:r>
    </w:p>
  </w:footnote>
  <w:footnote w:type="continuationSeparator" w:id="0">
    <w:p w:rsidR="00045623" w:rsidRDefault="00045623" w:rsidP="0051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A" w:rsidRPr="00852D8E" w:rsidRDefault="00513F83" w:rsidP="00480FCA">
    <w:pPr>
      <w:pStyle w:val="Header"/>
      <w:jc w:val="right"/>
      <w:rPr>
        <w:rStyle w:val="IntenseEmphasis"/>
        <w:rFonts w:ascii="Garamond" w:hAnsi="Garamond"/>
        <w:b w:val="0"/>
        <w:i w:val="0"/>
        <w:color w:val="072B62" w:themeColor="background2" w:themeShade="40"/>
        <w:sz w:val="18"/>
        <w:szCs w:val="18"/>
      </w:rPr>
    </w:pPr>
    <w:r>
      <w:rPr>
        <w:b/>
        <w:bCs/>
        <w:i/>
        <w:iCs/>
        <w:noProof/>
        <w:color w:val="629DD1" w:themeColor="accent1"/>
      </w:rPr>
      <w:drawing>
        <wp:inline distT="0" distB="0" distL="0" distR="0" wp14:anchorId="61A60BB8" wp14:editId="3A1C804A">
          <wp:extent cx="3270738" cy="41902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DAD Logo.JPG"/>
                  <pic:cNvPicPr/>
                </pic:nvPicPr>
                <pic:blipFill rotWithShape="1">
                  <a:blip r:embed="rId1">
                    <a:extLst>
                      <a:ext uri="{28A0092B-C50C-407E-A947-70E740481C1C}">
                        <a14:useLocalDpi xmlns:a14="http://schemas.microsoft.com/office/drawing/2010/main" val="0"/>
                      </a:ext>
                    </a:extLst>
                  </a:blip>
                  <a:srcRect l="2065" t="15994" r="1894" b="16340"/>
                  <a:stretch/>
                </pic:blipFill>
                <pic:spPr bwMode="auto">
                  <a:xfrm>
                    <a:off x="0" y="0"/>
                    <a:ext cx="3271301" cy="419100"/>
                  </a:xfrm>
                  <a:prstGeom prst="rect">
                    <a:avLst/>
                  </a:prstGeom>
                  <a:ln>
                    <a:noFill/>
                  </a:ln>
                  <a:extLst>
                    <a:ext uri="{53640926-AAD7-44D8-BBD7-CCE9431645EC}">
                      <a14:shadowObscured xmlns:a14="http://schemas.microsoft.com/office/drawing/2010/main"/>
                    </a:ext>
                  </a:extLst>
                </pic:spPr>
              </pic:pic>
            </a:graphicData>
          </a:graphic>
        </wp:inline>
      </w:drawing>
    </w:r>
    <w:r w:rsidR="00FB32D7">
      <w:rPr>
        <w:rStyle w:val="IntenseEmphasis"/>
        <w:rFonts w:asciiTheme="majorHAnsi" w:hAnsiTheme="majorHAnsi"/>
        <w:color w:val="297FD5" w:themeColor="accent2"/>
      </w:rPr>
      <w:t xml:space="preserve">                                     </w:t>
    </w:r>
    <w:r w:rsidR="00CC2DB1">
      <w:rPr>
        <w:rStyle w:val="IntenseEmphasis"/>
        <w:rFonts w:asciiTheme="majorHAnsi" w:hAnsiTheme="majorHAnsi"/>
        <w:color w:val="297FD5" w:themeColor="accent2"/>
      </w:rPr>
      <w:t xml:space="preserve">    </w:t>
    </w:r>
    <w:r w:rsidR="00FB32D7">
      <w:rPr>
        <w:rStyle w:val="IntenseEmphasis"/>
        <w:rFonts w:asciiTheme="majorHAnsi" w:hAnsiTheme="majorHAnsi"/>
        <w:color w:val="297FD5" w:themeColor="accent2"/>
      </w:rPr>
      <w:t xml:space="preserve">         </w:t>
    </w:r>
    <w:r w:rsidR="00480FCA">
      <w:rPr>
        <w:rStyle w:val="IntenseEmphasis"/>
        <w:rFonts w:asciiTheme="majorHAnsi" w:hAnsiTheme="majorHAnsi"/>
        <w:color w:val="297FD5" w:themeColor="accent2"/>
      </w:rPr>
      <w:t xml:space="preserve">                     </w:t>
    </w:r>
    <w:r w:rsidR="00F10A7C">
      <w:rPr>
        <w:rStyle w:val="IntenseEmphasis"/>
        <w:rFonts w:asciiTheme="majorHAnsi" w:hAnsiTheme="majorHAnsi"/>
        <w:color w:val="297FD5" w:themeColor="accent2"/>
      </w:rPr>
      <w:t xml:space="preserve">  </w:t>
    </w:r>
    <w:r w:rsidR="00480FCA">
      <w:rPr>
        <w:rStyle w:val="IntenseEmphasis"/>
        <w:rFonts w:asciiTheme="majorHAnsi" w:hAnsiTheme="majorHAnsi"/>
        <w:color w:val="297FD5" w:themeColor="accent2"/>
      </w:rPr>
      <w:t xml:space="preserve"> </w:t>
    </w:r>
    <w:r w:rsidR="00426092">
      <w:rPr>
        <w:rStyle w:val="IntenseEmphasis"/>
        <w:rFonts w:asciiTheme="majorHAnsi" w:hAnsiTheme="majorHAnsi"/>
        <w:color w:val="297FD5" w:themeColor="accent2"/>
      </w:rPr>
      <w:t xml:space="preserve">  </w:t>
    </w:r>
    <w:r w:rsidR="00552FF6">
      <w:rPr>
        <w:rStyle w:val="IntenseEmphasis"/>
        <w:rFonts w:asciiTheme="majorHAnsi" w:hAnsiTheme="majorHAnsi"/>
        <w:color w:val="297FD5" w:themeColor="accent2"/>
      </w:rPr>
      <w:t xml:space="preserve">  </w:t>
    </w:r>
    <w:r w:rsidR="00426092">
      <w:rPr>
        <w:rStyle w:val="IntenseEmphasis"/>
        <w:rFonts w:asciiTheme="majorHAnsi" w:hAnsiTheme="majorHAnsi"/>
        <w:color w:val="297FD5" w:themeColor="accent2"/>
      </w:rPr>
      <w:t xml:space="preserve"> </w:t>
    </w:r>
    <w:r w:rsidR="00495E69" w:rsidRPr="00852D8E">
      <w:rPr>
        <w:rStyle w:val="IntenseEmphasis"/>
        <w:rFonts w:asciiTheme="majorHAnsi" w:hAnsiTheme="majorHAnsi"/>
        <w:i w:val="0"/>
        <w:color w:val="297FD5" w:themeColor="accent2"/>
      </w:rPr>
      <w:t xml:space="preserve"> </w:t>
    </w:r>
    <w:r w:rsidR="000D1B73">
      <w:rPr>
        <w:rStyle w:val="IntenseEmphasis"/>
        <w:rFonts w:ascii="Garamond" w:hAnsi="Garamond"/>
        <w:i w:val="0"/>
        <w:color w:val="5AA2AE" w:themeColor="accent5"/>
      </w:rPr>
      <w:t>May</w:t>
    </w:r>
    <w:r w:rsidR="00F10A7C" w:rsidRPr="00852D8E">
      <w:rPr>
        <w:rStyle w:val="IntenseEmphasis"/>
        <w:rFonts w:ascii="Garamond" w:hAnsi="Garamond"/>
        <w:i w:val="0"/>
        <w:color w:val="5AA2AE" w:themeColor="accent5"/>
      </w:rPr>
      <w:t xml:space="preserve"> 2017</w:t>
    </w:r>
  </w:p>
  <w:p w:rsidR="00513F83" w:rsidRPr="006D01D7" w:rsidRDefault="00300D4A" w:rsidP="00480FCA">
    <w:pPr>
      <w:pStyle w:val="Header"/>
      <w:jc w:val="center"/>
      <w:rPr>
        <w:rStyle w:val="IntenseEmphasis"/>
        <w:rFonts w:ascii="Garamond" w:hAnsi="Garamond"/>
        <w:b w:val="0"/>
        <w:i w:val="0"/>
        <w:color w:val="072B62" w:themeColor="background2" w:themeShade="40"/>
        <w:sz w:val="16"/>
        <w:szCs w:val="16"/>
      </w:rPr>
    </w:pPr>
    <w:r w:rsidRPr="006D01D7">
      <w:rPr>
        <w:rStyle w:val="IntenseEmphasis"/>
        <w:rFonts w:ascii="Garamond" w:hAnsi="Garamond"/>
        <w:b w:val="0"/>
        <w:i w:val="0"/>
        <w:color w:val="072B62" w:themeColor="background2" w:themeShade="40"/>
        <w:sz w:val="16"/>
        <w:szCs w:val="16"/>
      </w:rPr>
      <w:t>1919 Pennsylvania</w:t>
    </w:r>
    <w:r w:rsidR="00FB32D7" w:rsidRPr="006D01D7">
      <w:rPr>
        <w:rStyle w:val="IntenseEmphasis"/>
        <w:rFonts w:ascii="Garamond" w:hAnsi="Garamond"/>
        <w:b w:val="0"/>
        <w:i w:val="0"/>
        <w:color w:val="072B62" w:themeColor="background2" w:themeShade="40"/>
        <w:sz w:val="16"/>
        <w:szCs w:val="16"/>
      </w:rPr>
      <w:t xml:space="preserve"> Ave</w:t>
    </w:r>
    <w:r w:rsidR="00513F83" w:rsidRPr="006D01D7">
      <w:rPr>
        <w:rStyle w:val="IntenseEmphasis"/>
        <w:rFonts w:ascii="Garamond" w:hAnsi="Garamond"/>
        <w:b w:val="0"/>
        <w:i w:val="0"/>
        <w:color w:val="072B62" w:themeColor="background2" w:themeShade="40"/>
        <w:sz w:val="16"/>
        <w:szCs w:val="16"/>
      </w:rPr>
      <w:t xml:space="preserve"> NW, Ste</w:t>
    </w:r>
    <w:r w:rsidR="00FB32D7" w:rsidRPr="006D01D7">
      <w:rPr>
        <w:rStyle w:val="IntenseEmphasis"/>
        <w:rFonts w:ascii="Garamond" w:hAnsi="Garamond"/>
        <w:b w:val="0"/>
        <w:i w:val="0"/>
        <w:color w:val="072B62" w:themeColor="background2" w:themeShade="40"/>
        <w:sz w:val="16"/>
        <w:szCs w:val="16"/>
      </w:rPr>
      <w:t>.</w:t>
    </w:r>
    <w:r w:rsidRPr="006D01D7">
      <w:rPr>
        <w:rStyle w:val="IntenseEmphasis"/>
        <w:rFonts w:ascii="Garamond" w:hAnsi="Garamond"/>
        <w:b w:val="0"/>
        <w:i w:val="0"/>
        <w:color w:val="072B62" w:themeColor="background2" w:themeShade="40"/>
        <w:sz w:val="16"/>
        <w:szCs w:val="16"/>
      </w:rPr>
      <w:t xml:space="preserve"> M-250 • Washington, DC 2000</w:t>
    </w:r>
    <w:r w:rsidR="00513F83" w:rsidRPr="006D01D7">
      <w:rPr>
        <w:rStyle w:val="IntenseEmphasis"/>
        <w:rFonts w:ascii="Garamond" w:hAnsi="Garamond"/>
        <w:b w:val="0"/>
        <w:i w:val="0"/>
        <w:color w:val="072B62" w:themeColor="background2" w:themeShade="40"/>
        <w:sz w:val="16"/>
        <w:szCs w:val="16"/>
      </w:rPr>
      <w:t xml:space="preserve">6 • T: (202) 293-0090 • F: (202) 293-1250 • Website: </w:t>
    </w:r>
    <w:hyperlink r:id="rId2" w:history="1">
      <w:r w:rsidR="00FB32D7" w:rsidRPr="006D01D7">
        <w:rPr>
          <w:rStyle w:val="Hyperlink"/>
          <w:rFonts w:ascii="Garamond" w:hAnsi="Garamond"/>
          <w:i/>
          <w:color w:val="251233" w:themeColor="hyperlink" w:themeShade="40"/>
          <w:sz w:val="16"/>
          <w:szCs w:val="16"/>
        </w:rPr>
        <w:t>www.nasadad.org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BF8"/>
    <w:multiLevelType w:val="hybridMultilevel"/>
    <w:tmpl w:val="07A0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EC9"/>
    <w:multiLevelType w:val="hybridMultilevel"/>
    <w:tmpl w:val="B60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772B7"/>
    <w:multiLevelType w:val="hybridMultilevel"/>
    <w:tmpl w:val="502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43B"/>
    <w:multiLevelType w:val="hybridMultilevel"/>
    <w:tmpl w:val="B6AED730"/>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 w15:restartNumberingAfterBreak="0">
    <w:nsid w:val="15726F74"/>
    <w:multiLevelType w:val="hybridMultilevel"/>
    <w:tmpl w:val="2DB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6270"/>
    <w:multiLevelType w:val="hybridMultilevel"/>
    <w:tmpl w:val="82B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2380A"/>
    <w:multiLevelType w:val="hybridMultilevel"/>
    <w:tmpl w:val="2C9E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B65DD"/>
    <w:multiLevelType w:val="hybridMultilevel"/>
    <w:tmpl w:val="322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F5FE0"/>
    <w:multiLevelType w:val="hybridMultilevel"/>
    <w:tmpl w:val="997828C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9" w15:restartNumberingAfterBreak="0">
    <w:nsid w:val="4B222790"/>
    <w:multiLevelType w:val="hybridMultilevel"/>
    <w:tmpl w:val="789A3192"/>
    <w:lvl w:ilvl="0" w:tplc="3EB2B8E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B17BF"/>
    <w:multiLevelType w:val="hybridMultilevel"/>
    <w:tmpl w:val="379813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73F80"/>
    <w:multiLevelType w:val="hybridMultilevel"/>
    <w:tmpl w:val="5A26E26C"/>
    <w:lvl w:ilvl="0" w:tplc="7DDE307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1133C"/>
    <w:multiLevelType w:val="hybridMultilevel"/>
    <w:tmpl w:val="F2A2FAB0"/>
    <w:lvl w:ilvl="0" w:tplc="C0F03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A316D"/>
    <w:multiLevelType w:val="hybridMultilevel"/>
    <w:tmpl w:val="CB6803E4"/>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4" w15:restartNumberingAfterBreak="0">
    <w:nsid w:val="706068F2"/>
    <w:multiLevelType w:val="hybridMultilevel"/>
    <w:tmpl w:val="8ADC9666"/>
    <w:lvl w:ilvl="0" w:tplc="6804DFE8">
      <w:start w:val="1"/>
      <w:numFmt w:val="decimal"/>
      <w:lvlText w:val="%1."/>
      <w:lvlJc w:val="left"/>
      <w:pPr>
        <w:ind w:left="1080" w:hanging="360"/>
      </w:pPr>
      <w:rPr>
        <w:rFonts w:hint="default"/>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800E3C"/>
    <w:multiLevelType w:val="hybridMultilevel"/>
    <w:tmpl w:val="AE6A9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D86D9D"/>
    <w:multiLevelType w:val="hybridMultilevel"/>
    <w:tmpl w:val="781A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2"/>
  </w:num>
  <w:num w:numId="5">
    <w:abstractNumId w:val="11"/>
  </w:num>
  <w:num w:numId="6">
    <w:abstractNumId w:val="13"/>
  </w:num>
  <w:num w:numId="7">
    <w:abstractNumId w:val="5"/>
  </w:num>
  <w:num w:numId="8">
    <w:abstractNumId w:val="8"/>
  </w:num>
  <w:num w:numId="9">
    <w:abstractNumId w:val="7"/>
  </w:num>
  <w:num w:numId="10">
    <w:abstractNumId w:val="3"/>
  </w:num>
  <w:num w:numId="11">
    <w:abstractNumId w:val="9"/>
  </w:num>
  <w:num w:numId="12">
    <w:abstractNumId w:val="14"/>
  </w:num>
  <w:num w:numId="13">
    <w:abstractNumId w:val="2"/>
  </w:num>
  <w:num w:numId="14">
    <w:abstractNumId w:val="6"/>
  </w:num>
  <w:num w:numId="15">
    <w:abstractNumId w:val="0"/>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3"/>
    <w:rsid w:val="000009B3"/>
    <w:rsid w:val="00000F9C"/>
    <w:rsid w:val="000039F8"/>
    <w:rsid w:val="000060E5"/>
    <w:rsid w:val="000062EB"/>
    <w:rsid w:val="00014235"/>
    <w:rsid w:val="00022D58"/>
    <w:rsid w:val="0002412F"/>
    <w:rsid w:val="00032888"/>
    <w:rsid w:val="0003368C"/>
    <w:rsid w:val="00034C20"/>
    <w:rsid w:val="0003721F"/>
    <w:rsid w:val="00045623"/>
    <w:rsid w:val="00045823"/>
    <w:rsid w:val="00057A63"/>
    <w:rsid w:val="00057C82"/>
    <w:rsid w:val="00061461"/>
    <w:rsid w:val="000660A4"/>
    <w:rsid w:val="000876D0"/>
    <w:rsid w:val="00087E9E"/>
    <w:rsid w:val="0009016A"/>
    <w:rsid w:val="00091773"/>
    <w:rsid w:val="000936AF"/>
    <w:rsid w:val="0009716F"/>
    <w:rsid w:val="000A278A"/>
    <w:rsid w:val="000A5016"/>
    <w:rsid w:val="000B419B"/>
    <w:rsid w:val="000C6EBE"/>
    <w:rsid w:val="000D1B73"/>
    <w:rsid w:val="000D2389"/>
    <w:rsid w:val="000E7A1E"/>
    <w:rsid w:val="000F500E"/>
    <w:rsid w:val="000F672B"/>
    <w:rsid w:val="00104B27"/>
    <w:rsid w:val="00121EC5"/>
    <w:rsid w:val="00144007"/>
    <w:rsid w:val="00155261"/>
    <w:rsid w:val="00155D8B"/>
    <w:rsid w:val="00156EF3"/>
    <w:rsid w:val="00161CF2"/>
    <w:rsid w:val="001705A0"/>
    <w:rsid w:val="00170C2F"/>
    <w:rsid w:val="001725C1"/>
    <w:rsid w:val="001775A7"/>
    <w:rsid w:val="00193D14"/>
    <w:rsid w:val="00193F86"/>
    <w:rsid w:val="001A29EC"/>
    <w:rsid w:val="001B3402"/>
    <w:rsid w:val="001B342D"/>
    <w:rsid w:val="001B3E96"/>
    <w:rsid w:val="001D3B60"/>
    <w:rsid w:val="001D4714"/>
    <w:rsid w:val="001E0F16"/>
    <w:rsid w:val="001E7391"/>
    <w:rsid w:val="00202C2A"/>
    <w:rsid w:val="00217B0F"/>
    <w:rsid w:val="002276B7"/>
    <w:rsid w:val="00244C3C"/>
    <w:rsid w:val="00256DA5"/>
    <w:rsid w:val="00260FE9"/>
    <w:rsid w:val="0027341D"/>
    <w:rsid w:val="00280180"/>
    <w:rsid w:val="00286185"/>
    <w:rsid w:val="0029598F"/>
    <w:rsid w:val="00296F64"/>
    <w:rsid w:val="00297130"/>
    <w:rsid w:val="002A6E66"/>
    <w:rsid w:val="002B3756"/>
    <w:rsid w:val="002B4030"/>
    <w:rsid w:val="002B5247"/>
    <w:rsid w:val="002B59AD"/>
    <w:rsid w:val="002C2983"/>
    <w:rsid w:val="002D7881"/>
    <w:rsid w:val="002E20BE"/>
    <w:rsid w:val="002F4E26"/>
    <w:rsid w:val="00300D4A"/>
    <w:rsid w:val="00304F6F"/>
    <w:rsid w:val="00312891"/>
    <w:rsid w:val="003239E8"/>
    <w:rsid w:val="00325279"/>
    <w:rsid w:val="003257E2"/>
    <w:rsid w:val="0032636D"/>
    <w:rsid w:val="00326534"/>
    <w:rsid w:val="003411A0"/>
    <w:rsid w:val="0034237D"/>
    <w:rsid w:val="00343BBE"/>
    <w:rsid w:val="00356FCD"/>
    <w:rsid w:val="00357EC0"/>
    <w:rsid w:val="00364C1E"/>
    <w:rsid w:val="0036536D"/>
    <w:rsid w:val="0036571E"/>
    <w:rsid w:val="0038699B"/>
    <w:rsid w:val="003A1C65"/>
    <w:rsid w:val="003B14BC"/>
    <w:rsid w:val="003B1BDD"/>
    <w:rsid w:val="003C3457"/>
    <w:rsid w:val="003C527A"/>
    <w:rsid w:val="003D58D8"/>
    <w:rsid w:val="003E14FA"/>
    <w:rsid w:val="003E450B"/>
    <w:rsid w:val="003F2EA4"/>
    <w:rsid w:val="003F6B72"/>
    <w:rsid w:val="004005DD"/>
    <w:rsid w:val="00401C38"/>
    <w:rsid w:val="00417FAA"/>
    <w:rsid w:val="00426092"/>
    <w:rsid w:val="00427C20"/>
    <w:rsid w:val="00430361"/>
    <w:rsid w:val="00441745"/>
    <w:rsid w:val="00441F92"/>
    <w:rsid w:val="0044606D"/>
    <w:rsid w:val="00447ACC"/>
    <w:rsid w:val="00450F55"/>
    <w:rsid w:val="0045356A"/>
    <w:rsid w:val="004803E3"/>
    <w:rsid w:val="00480FCA"/>
    <w:rsid w:val="0048198D"/>
    <w:rsid w:val="00495E69"/>
    <w:rsid w:val="004A0526"/>
    <w:rsid w:val="004A4160"/>
    <w:rsid w:val="004B15C3"/>
    <w:rsid w:val="004B5A3C"/>
    <w:rsid w:val="004D0A7D"/>
    <w:rsid w:val="004D2A66"/>
    <w:rsid w:val="004F0E78"/>
    <w:rsid w:val="00500A85"/>
    <w:rsid w:val="005042DD"/>
    <w:rsid w:val="00510A01"/>
    <w:rsid w:val="00513F83"/>
    <w:rsid w:val="0052168F"/>
    <w:rsid w:val="00525222"/>
    <w:rsid w:val="00525F3B"/>
    <w:rsid w:val="005332C1"/>
    <w:rsid w:val="00545180"/>
    <w:rsid w:val="005528AB"/>
    <w:rsid w:val="00552A15"/>
    <w:rsid w:val="00552FF6"/>
    <w:rsid w:val="00553038"/>
    <w:rsid w:val="00553B63"/>
    <w:rsid w:val="00554D9B"/>
    <w:rsid w:val="0055741C"/>
    <w:rsid w:val="0057026B"/>
    <w:rsid w:val="00572AF0"/>
    <w:rsid w:val="00574A66"/>
    <w:rsid w:val="005772FD"/>
    <w:rsid w:val="0058645B"/>
    <w:rsid w:val="00592CC0"/>
    <w:rsid w:val="005939D7"/>
    <w:rsid w:val="00594A6D"/>
    <w:rsid w:val="005B326B"/>
    <w:rsid w:val="005D20B9"/>
    <w:rsid w:val="005D23DE"/>
    <w:rsid w:val="005D370E"/>
    <w:rsid w:val="005D3FC7"/>
    <w:rsid w:val="005D62CA"/>
    <w:rsid w:val="005E0CFC"/>
    <w:rsid w:val="005F44F8"/>
    <w:rsid w:val="00613A74"/>
    <w:rsid w:val="006261D1"/>
    <w:rsid w:val="006267DA"/>
    <w:rsid w:val="00626B0F"/>
    <w:rsid w:val="00632028"/>
    <w:rsid w:val="00632DC1"/>
    <w:rsid w:val="00636401"/>
    <w:rsid w:val="00643597"/>
    <w:rsid w:val="00651DBC"/>
    <w:rsid w:val="00656150"/>
    <w:rsid w:val="00665761"/>
    <w:rsid w:val="0066660C"/>
    <w:rsid w:val="0067704B"/>
    <w:rsid w:val="006774EB"/>
    <w:rsid w:val="00697405"/>
    <w:rsid w:val="00697C15"/>
    <w:rsid w:val="006A13AA"/>
    <w:rsid w:val="006A59E4"/>
    <w:rsid w:val="006B2B06"/>
    <w:rsid w:val="006B2FDD"/>
    <w:rsid w:val="006B79FC"/>
    <w:rsid w:val="006D01D7"/>
    <w:rsid w:val="006D4240"/>
    <w:rsid w:val="006D433F"/>
    <w:rsid w:val="006E3CBD"/>
    <w:rsid w:val="006F07A9"/>
    <w:rsid w:val="006F545C"/>
    <w:rsid w:val="006F7B96"/>
    <w:rsid w:val="00706957"/>
    <w:rsid w:val="00715F18"/>
    <w:rsid w:val="007172C0"/>
    <w:rsid w:val="00723B23"/>
    <w:rsid w:val="00727C57"/>
    <w:rsid w:val="00734CC3"/>
    <w:rsid w:val="00736A76"/>
    <w:rsid w:val="00736E99"/>
    <w:rsid w:val="00746FAD"/>
    <w:rsid w:val="00753EBB"/>
    <w:rsid w:val="00755F67"/>
    <w:rsid w:val="00785A0C"/>
    <w:rsid w:val="007A0587"/>
    <w:rsid w:val="007C6EBD"/>
    <w:rsid w:val="007D1D8D"/>
    <w:rsid w:val="007E5B74"/>
    <w:rsid w:val="007E63E5"/>
    <w:rsid w:val="007E6A81"/>
    <w:rsid w:val="007E6C78"/>
    <w:rsid w:val="007E7FE6"/>
    <w:rsid w:val="007F0D50"/>
    <w:rsid w:val="007F0FE7"/>
    <w:rsid w:val="00802D00"/>
    <w:rsid w:val="0080662F"/>
    <w:rsid w:val="0080701D"/>
    <w:rsid w:val="00810062"/>
    <w:rsid w:val="00823253"/>
    <w:rsid w:val="00823F67"/>
    <w:rsid w:val="00824FF4"/>
    <w:rsid w:val="008266BF"/>
    <w:rsid w:val="008513DD"/>
    <w:rsid w:val="00852830"/>
    <w:rsid w:val="00852D8E"/>
    <w:rsid w:val="00860F34"/>
    <w:rsid w:val="00867FDC"/>
    <w:rsid w:val="008871F9"/>
    <w:rsid w:val="008931BC"/>
    <w:rsid w:val="008940FE"/>
    <w:rsid w:val="00894311"/>
    <w:rsid w:val="008969ED"/>
    <w:rsid w:val="008A62BB"/>
    <w:rsid w:val="008A7249"/>
    <w:rsid w:val="008B2C04"/>
    <w:rsid w:val="008C1C65"/>
    <w:rsid w:val="008C6A0D"/>
    <w:rsid w:val="008C75EE"/>
    <w:rsid w:val="008D064C"/>
    <w:rsid w:val="008D450F"/>
    <w:rsid w:val="008D5AAB"/>
    <w:rsid w:val="008D7989"/>
    <w:rsid w:val="008F5A1C"/>
    <w:rsid w:val="00903EE0"/>
    <w:rsid w:val="00906A95"/>
    <w:rsid w:val="009202E3"/>
    <w:rsid w:val="00927AA5"/>
    <w:rsid w:val="0093460E"/>
    <w:rsid w:val="00942BAC"/>
    <w:rsid w:val="00962E2F"/>
    <w:rsid w:val="0096594A"/>
    <w:rsid w:val="00970BB8"/>
    <w:rsid w:val="009753FA"/>
    <w:rsid w:val="009906B7"/>
    <w:rsid w:val="00993CE2"/>
    <w:rsid w:val="009A04B9"/>
    <w:rsid w:val="009B1BFE"/>
    <w:rsid w:val="009C2399"/>
    <w:rsid w:val="009D09D5"/>
    <w:rsid w:val="009D5555"/>
    <w:rsid w:val="009D7016"/>
    <w:rsid w:val="009E270E"/>
    <w:rsid w:val="009E28BC"/>
    <w:rsid w:val="009E3158"/>
    <w:rsid w:val="009E475C"/>
    <w:rsid w:val="009E7405"/>
    <w:rsid w:val="009F62E6"/>
    <w:rsid w:val="00A026B2"/>
    <w:rsid w:val="00A04AC8"/>
    <w:rsid w:val="00A04AEA"/>
    <w:rsid w:val="00A05D9A"/>
    <w:rsid w:val="00A121B5"/>
    <w:rsid w:val="00A13486"/>
    <w:rsid w:val="00A15B54"/>
    <w:rsid w:val="00A24A6B"/>
    <w:rsid w:val="00A26493"/>
    <w:rsid w:val="00A32C5C"/>
    <w:rsid w:val="00A36D1E"/>
    <w:rsid w:val="00A41FA7"/>
    <w:rsid w:val="00A43B5D"/>
    <w:rsid w:val="00A76EFC"/>
    <w:rsid w:val="00A868F8"/>
    <w:rsid w:val="00A920E3"/>
    <w:rsid w:val="00A9294E"/>
    <w:rsid w:val="00A96ED5"/>
    <w:rsid w:val="00AA3F90"/>
    <w:rsid w:val="00AA4CD1"/>
    <w:rsid w:val="00AD015D"/>
    <w:rsid w:val="00AD26FA"/>
    <w:rsid w:val="00AF11C2"/>
    <w:rsid w:val="00AF14E2"/>
    <w:rsid w:val="00AF4DC9"/>
    <w:rsid w:val="00B11BD3"/>
    <w:rsid w:val="00B14FF6"/>
    <w:rsid w:val="00B17B6E"/>
    <w:rsid w:val="00B21A45"/>
    <w:rsid w:val="00B23FC0"/>
    <w:rsid w:val="00B27C7D"/>
    <w:rsid w:val="00B37615"/>
    <w:rsid w:val="00B4204B"/>
    <w:rsid w:val="00B4738D"/>
    <w:rsid w:val="00B57025"/>
    <w:rsid w:val="00B5753F"/>
    <w:rsid w:val="00B619E3"/>
    <w:rsid w:val="00B6439C"/>
    <w:rsid w:val="00B64ED1"/>
    <w:rsid w:val="00B657D6"/>
    <w:rsid w:val="00B763B7"/>
    <w:rsid w:val="00B83EE7"/>
    <w:rsid w:val="00B94F1F"/>
    <w:rsid w:val="00BA7423"/>
    <w:rsid w:val="00BB46D0"/>
    <w:rsid w:val="00BB5C87"/>
    <w:rsid w:val="00BC28E5"/>
    <w:rsid w:val="00BD1EE3"/>
    <w:rsid w:val="00BE1435"/>
    <w:rsid w:val="00BE2204"/>
    <w:rsid w:val="00BF10ED"/>
    <w:rsid w:val="00BF1B56"/>
    <w:rsid w:val="00BF7E11"/>
    <w:rsid w:val="00C00389"/>
    <w:rsid w:val="00C05932"/>
    <w:rsid w:val="00C1710D"/>
    <w:rsid w:val="00C32A4C"/>
    <w:rsid w:val="00C66C76"/>
    <w:rsid w:val="00C673EF"/>
    <w:rsid w:val="00C828A2"/>
    <w:rsid w:val="00C87297"/>
    <w:rsid w:val="00C916E9"/>
    <w:rsid w:val="00CA1B0E"/>
    <w:rsid w:val="00CB7D13"/>
    <w:rsid w:val="00CC07E7"/>
    <w:rsid w:val="00CC2DB1"/>
    <w:rsid w:val="00CC63B5"/>
    <w:rsid w:val="00CD0AEC"/>
    <w:rsid w:val="00CD70AF"/>
    <w:rsid w:val="00CE1404"/>
    <w:rsid w:val="00CE3DFF"/>
    <w:rsid w:val="00CE5E70"/>
    <w:rsid w:val="00CE7A00"/>
    <w:rsid w:val="00CF46B6"/>
    <w:rsid w:val="00CF6F8A"/>
    <w:rsid w:val="00D01345"/>
    <w:rsid w:val="00D01870"/>
    <w:rsid w:val="00D038F6"/>
    <w:rsid w:val="00D05096"/>
    <w:rsid w:val="00D052B5"/>
    <w:rsid w:val="00D062E6"/>
    <w:rsid w:val="00D11B1D"/>
    <w:rsid w:val="00D263A6"/>
    <w:rsid w:val="00D374D0"/>
    <w:rsid w:val="00D44C94"/>
    <w:rsid w:val="00D53345"/>
    <w:rsid w:val="00D54514"/>
    <w:rsid w:val="00D54561"/>
    <w:rsid w:val="00D560E0"/>
    <w:rsid w:val="00D66F3F"/>
    <w:rsid w:val="00DC7A33"/>
    <w:rsid w:val="00DD2950"/>
    <w:rsid w:val="00DD3F52"/>
    <w:rsid w:val="00DD54CC"/>
    <w:rsid w:val="00DF089F"/>
    <w:rsid w:val="00DF6245"/>
    <w:rsid w:val="00E05683"/>
    <w:rsid w:val="00E16110"/>
    <w:rsid w:val="00E262BB"/>
    <w:rsid w:val="00E348FD"/>
    <w:rsid w:val="00E62743"/>
    <w:rsid w:val="00E66197"/>
    <w:rsid w:val="00E67F0D"/>
    <w:rsid w:val="00E73190"/>
    <w:rsid w:val="00E761FC"/>
    <w:rsid w:val="00E76AA5"/>
    <w:rsid w:val="00E821BF"/>
    <w:rsid w:val="00E85AD4"/>
    <w:rsid w:val="00E91925"/>
    <w:rsid w:val="00E9679D"/>
    <w:rsid w:val="00EB2E8E"/>
    <w:rsid w:val="00EC6296"/>
    <w:rsid w:val="00EC62BC"/>
    <w:rsid w:val="00ED15B0"/>
    <w:rsid w:val="00ED4D1E"/>
    <w:rsid w:val="00ED6D68"/>
    <w:rsid w:val="00EF420F"/>
    <w:rsid w:val="00EF4648"/>
    <w:rsid w:val="00EF5A24"/>
    <w:rsid w:val="00F0292A"/>
    <w:rsid w:val="00F0444C"/>
    <w:rsid w:val="00F10A7C"/>
    <w:rsid w:val="00F144BA"/>
    <w:rsid w:val="00F16045"/>
    <w:rsid w:val="00F27A97"/>
    <w:rsid w:val="00F35CD1"/>
    <w:rsid w:val="00F42703"/>
    <w:rsid w:val="00F447A9"/>
    <w:rsid w:val="00F5026E"/>
    <w:rsid w:val="00F65C48"/>
    <w:rsid w:val="00F81C4C"/>
    <w:rsid w:val="00F8406C"/>
    <w:rsid w:val="00F92885"/>
    <w:rsid w:val="00FB32D7"/>
    <w:rsid w:val="00FB4DF7"/>
    <w:rsid w:val="00FC64EC"/>
    <w:rsid w:val="00FD2D2E"/>
    <w:rsid w:val="00FD3F4F"/>
    <w:rsid w:val="00FD5AD8"/>
    <w:rsid w:val="00FD7541"/>
    <w:rsid w:val="00FD7D27"/>
    <w:rsid w:val="00FE24B5"/>
    <w:rsid w:val="00FE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553A4E"/>
  <w15:docId w15:val="{C3D0F092-243C-441C-AB7C-DFA99E62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F83"/>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F83"/>
    <w:rPr>
      <w:rFonts w:asciiTheme="majorHAnsi" w:eastAsiaTheme="majorEastAsia" w:hAnsiTheme="majorHAnsi" w:cstheme="majorBidi"/>
      <w:b/>
      <w:bCs/>
      <w:color w:val="3476B1" w:themeColor="accent1" w:themeShade="BF"/>
      <w:sz w:val="28"/>
      <w:szCs w:val="28"/>
    </w:rPr>
  </w:style>
  <w:style w:type="paragraph" w:styleId="Title">
    <w:name w:val="Title"/>
    <w:basedOn w:val="Normal"/>
    <w:next w:val="Normal"/>
    <w:link w:val="TitleChar"/>
    <w:uiPriority w:val="10"/>
    <w:qFormat/>
    <w:rsid w:val="00513F83"/>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13F83"/>
    <w:rPr>
      <w:rFonts w:asciiTheme="majorHAnsi" w:eastAsiaTheme="majorEastAsia" w:hAnsiTheme="majorHAnsi" w:cstheme="majorBidi"/>
      <w:color w:val="1B1D3D" w:themeColor="text2" w:themeShade="BF"/>
      <w:spacing w:val="5"/>
      <w:kern w:val="28"/>
      <w:sz w:val="52"/>
      <w:szCs w:val="52"/>
    </w:rPr>
  </w:style>
  <w:style w:type="paragraph" w:styleId="Header">
    <w:name w:val="header"/>
    <w:basedOn w:val="Normal"/>
    <w:link w:val="HeaderChar"/>
    <w:uiPriority w:val="99"/>
    <w:unhideWhenUsed/>
    <w:rsid w:val="00513F83"/>
    <w:pPr>
      <w:tabs>
        <w:tab w:val="center" w:pos="4680"/>
        <w:tab w:val="right" w:pos="9360"/>
      </w:tabs>
    </w:pPr>
  </w:style>
  <w:style w:type="character" w:customStyle="1" w:styleId="HeaderChar">
    <w:name w:val="Header Char"/>
    <w:basedOn w:val="DefaultParagraphFont"/>
    <w:link w:val="Header"/>
    <w:uiPriority w:val="99"/>
    <w:rsid w:val="00513F83"/>
  </w:style>
  <w:style w:type="paragraph" w:styleId="Footer">
    <w:name w:val="footer"/>
    <w:basedOn w:val="Normal"/>
    <w:link w:val="FooterChar"/>
    <w:uiPriority w:val="99"/>
    <w:unhideWhenUsed/>
    <w:rsid w:val="00513F83"/>
    <w:pPr>
      <w:tabs>
        <w:tab w:val="center" w:pos="4680"/>
        <w:tab w:val="right" w:pos="9360"/>
      </w:tabs>
    </w:pPr>
  </w:style>
  <w:style w:type="character" w:customStyle="1" w:styleId="FooterChar">
    <w:name w:val="Footer Char"/>
    <w:basedOn w:val="DefaultParagraphFont"/>
    <w:link w:val="Footer"/>
    <w:uiPriority w:val="99"/>
    <w:rsid w:val="00513F83"/>
  </w:style>
  <w:style w:type="character" w:styleId="IntenseEmphasis">
    <w:name w:val="Intense Emphasis"/>
    <w:basedOn w:val="DefaultParagraphFont"/>
    <w:uiPriority w:val="21"/>
    <w:qFormat/>
    <w:rsid w:val="00513F83"/>
    <w:rPr>
      <w:b/>
      <w:bCs/>
      <w:i/>
      <w:iCs/>
      <w:color w:val="629DD1" w:themeColor="accent1"/>
    </w:rPr>
  </w:style>
  <w:style w:type="paragraph" w:styleId="BalloonText">
    <w:name w:val="Balloon Text"/>
    <w:basedOn w:val="Normal"/>
    <w:link w:val="BalloonTextChar"/>
    <w:uiPriority w:val="99"/>
    <w:semiHidden/>
    <w:unhideWhenUsed/>
    <w:rsid w:val="00513F83"/>
    <w:rPr>
      <w:rFonts w:ascii="Tahoma" w:hAnsi="Tahoma" w:cs="Tahoma"/>
      <w:sz w:val="16"/>
      <w:szCs w:val="16"/>
    </w:rPr>
  </w:style>
  <w:style w:type="character" w:customStyle="1" w:styleId="BalloonTextChar">
    <w:name w:val="Balloon Text Char"/>
    <w:basedOn w:val="DefaultParagraphFont"/>
    <w:link w:val="BalloonText"/>
    <w:uiPriority w:val="99"/>
    <w:semiHidden/>
    <w:rsid w:val="00513F83"/>
    <w:rPr>
      <w:rFonts w:ascii="Tahoma" w:hAnsi="Tahoma" w:cs="Tahoma"/>
      <w:sz w:val="16"/>
      <w:szCs w:val="16"/>
    </w:rPr>
  </w:style>
  <w:style w:type="character" w:styleId="Hyperlink">
    <w:name w:val="Hyperlink"/>
    <w:basedOn w:val="DefaultParagraphFont"/>
    <w:uiPriority w:val="99"/>
    <w:unhideWhenUsed/>
    <w:rsid w:val="00513F83"/>
    <w:rPr>
      <w:color w:val="9454C3" w:themeColor="hyperlink"/>
      <w:u w:val="single"/>
    </w:rPr>
  </w:style>
  <w:style w:type="table" w:styleId="TableGrid">
    <w:name w:val="Table Grid"/>
    <w:basedOn w:val="TableNormal"/>
    <w:uiPriority w:val="59"/>
    <w:rsid w:val="007F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A4"/>
    <w:pPr>
      <w:ind w:left="720"/>
      <w:contextualSpacing/>
    </w:pPr>
  </w:style>
  <w:style w:type="character" w:styleId="FollowedHyperlink">
    <w:name w:val="FollowedHyperlink"/>
    <w:basedOn w:val="DefaultParagraphFont"/>
    <w:uiPriority w:val="99"/>
    <w:semiHidden/>
    <w:unhideWhenUsed/>
    <w:rsid w:val="0036536D"/>
    <w:rPr>
      <w:color w:val="3EBBF0" w:themeColor="followedHyperlink"/>
      <w:u w:val="single"/>
    </w:rPr>
  </w:style>
  <w:style w:type="table" w:customStyle="1" w:styleId="TableGrid1">
    <w:name w:val="Table Grid1"/>
    <w:basedOn w:val="TableNormal"/>
    <w:next w:val="TableGrid"/>
    <w:uiPriority w:val="59"/>
    <w:rsid w:val="007A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39175">
      <w:bodyDiv w:val="1"/>
      <w:marLeft w:val="0"/>
      <w:marRight w:val="0"/>
      <w:marTop w:val="0"/>
      <w:marBottom w:val="0"/>
      <w:divBdr>
        <w:top w:val="none" w:sz="0" w:space="0" w:color="auto"/>
        <w:left w:val="none" w:sz="0" w:space="0" w:color="auto"/>
        <w:bottom w:val="none" w:sz="0" w:space="0" w:color="auto"/>
        <w:right w:val="none" w:sz="0" w:space="0" w:color="auto"/>
      </w:divBdr>
    </w:div>
    <w:div w:id="12182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rmorrison@nasadad.org" TargetMode="External"/><Relationship Id="rId2" Type="http://schemas.openxmlformats.org/officeDocument/2006/relationships/hyperlink" Target="mailto:swickramatilake@nasadad.org" TargetMode="External"/><Relationship Id="rId1" Type="http://schemas.openxmlformats.org/officeDocument/2006/relationships/hyperlink" Target="mailto:rmorrison@nasadad.org" TargetMode="External"/><Relationship Id="rId4" Type="http://schemas.openxmlformats.org/officeDocument/2006/relationships/hyperlink" Target="mailto:swickramatilake@nasadad.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sadad.org" TargetMode="External"/><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SAPT Block Grant Funding: </a:t>
            </a:r>
          </a:p>
          <a:p>
            <a:pPr>
              <a:defRPr/>
            </a:pPr>
            <a:r>
              <a:rPr lang="en-US"/>
              <a:t>Appropriations vs. Actual, </a:t>
            </a:r>
            <a:r>
              <a:rPr lang="en-US">
                <a:solidFill>
                  <a:sysClr val="windowText" lastClr="000000"/>
                </a:solidFill>
              </a:rPr>
              <a:t>2006-2017</a:t>
            </a:r>
          </a:p>
        </c:rich>
      </c:tx>
      <c:layout>
        <c:manualLayout>
          <c:xMode val="edge"/>
          <c:yMode val="edge"/>
          <c:x val="0.29223041004897099"/>
          <c:y val="1.9971103769757487E-2"/>
        </c:manualLayout>
      </c:layout>
      <c:overlay val="0"/>
    </c:title>
    <c:autoTitleDeleted val="0"/>
    <c:plotArea>
      <c:layout>
        <c:manualLayout>
          <c:layoutTarget val="inner"/>
          <c:xMode val="edge"/>
          <c:yMode val="edge"/>
          <c:x val="0.10574194153828492"/>
          <c:y val="0.17002213215609657"/>
          <c:w val="0.67457062081519858"/>
          <c:h val="0.68866110283393811"/>
        </c:manualLayout>
      </c:layout>
      <c:lineChart>
        <c:grouping val="standard"/>
        <c:varyColors val="0"/>
        <c:ser>
          <c:idx val="0"/>
          <c:order val="0"/>
          <c:tx>
            <c:strRef>
              <c:f>Sheet1!$B$1</c:f>
              <c:strCache>
                <c:ptCount val="1"/>
                <c:pt idx="0">
                  <c:v>SAPT Block Grant Funding</c:v>
                </c:pt>
              </c:strCache>
            </c:strRef>
          </c:tx>
          <c:marker>
            <c:symbol val="none"/>
          </c:marker>
          <c:cat>
            <c:numRef>
              <c:f>Sheet1!$A$2:$A$13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Sheet1!$B$2:$B$13</c:f>
              <c:numCache>
                <c:formatCode>General</c:formatCode>
                <c:ptCount val="12"/>
                <c:pt idx="0">
                  <c:v>1757</c:v>
                </c:pt>
                <c:pt idx="1">
                  <c:v>1759</c:v>
                </c:pt>
                <c:pt idx="2">
                  <c:v>1759</c:v>
                </c:pt>
                <c:pt idx="3">
                  <c:v>1779</c:v>
                </c:pt>
                <c:pt idx="4">
                  <c:v>1799</c:v>
                </c:pt>
                <c:pt idx="5">
                  <c:v>1799</c:v>
                </c:pt>
                <c:pt idx="6">
                  <c:v>1779</c:v>
                </c:pt>
                <c:pt idx="7">
                  <c:v>1710</c:v>
                </c:pt>
                <c:pt idx="8">
                  <c:v>1815</c:v>
                </c:pt>
                <c:pt idx="9">
                  <c:v>1820</c:v>
                </c:pt>
                <c:pt idx="10">
                  <c:v>1858</c:v>
                </c:pt>
                <c:pt idx="11">
                  <c:v>1854</c:v>
                </c:pt>
              </c:numCache>
            </c:numRef>
          </c:val>
          <c:smooth val="0"/>
          <c:extLst>
            <c:ext xmlns:c16="http://schemas.microsoft.com/office/drawing/2014/chart" uri="{C3380CC4-5D6E-409C-BE32-E72D297353CC}">
              <c16:uniqueId val="{00000000-445F-4D52-BCDE-662402AB6625}"/>
            </c:ext>
          </c:extLst>
        </c:ser>
        <c:ser>
          <c:idx val="1"/>
          <c:order val="1"/>
          <c:tx>
            <c:strRef>
              <c:f>Sheet1!$C$1</c:f>
              <c:strCache>
                <c:ptCount val="1"/>
                <c:pt idx="0">
                  <c:v>Actual Funding, Adjusted for Inflation</c:v>
                </c:pt>
              </c:strCache>
            </c:strRef>
          </c:tx>
          <c:spPr>
            <a:ln>
              <a:prstDash val="sysDash"/>
            </a:ln>
          </c:spPr>
          <c:marker>
            <c:symbol val="none"/>
          </c:marker>
          <c:cat>
            <c:numRef>
              <c:f>Sheet1!$A$2:$A$13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Sheet1!$C$2:$C$13</c:f>
              <c:numCache>
                <c:formatCode>General</c:formatCode>
                <c:ptCount val="12"/>
                <c:pt idx="0">
                  <c:v>1757</c:v>
                </c:pt>
                <c:pt idx="1">
                  <c:v>1691</c:v>
                </c:pt>
                <c:pt idx="2">
                  <c:v>1617</c:v>
                </c:pt>
                <c:pt idx="3">
                  <c:v>1591</c:v>
                </c:pt>
                <c:pt idx="4">
                  <c:v>1551</c:v>
                </c:pt>
                <c:pt idx="5">
                  <c:v>1510</c:v>
                </c:pt>
                <c:pt idx="6">
                  <c:v>1443</c:v>
                </c:pt>
                <c:pt idx="7">
                  <c:v>1346</c:v>
                </c:pt>
                <c:pt idx="8">
                  <c:v>1398</c:v>
                </c:pt>
                <c:pt idx="9">
                  <c:v>1368</c:v>
                </c:pt>
                <c:pt idx="10">
                  <c:v>1352</c:v>
                </c:pt>
                <c:pt idx="11">
                  <c:v>1312</c:v>
                </c:pt>
              </c:numCache>
            </c:numRef>
          </c:val>
          <c:smooth val="0"/>
          <c:extLst>
            <c:ext xmlns:c16="http://schemas.microsoft.com/office/drawing/2014/chart" uri="{C3380CC4-5D6E-409C-BE32-E72D297353CC}">
              <c16:uniqueId val="{00000001-445F-4D52-BCDE-662402AB6625}"/>
            </c:ext>
          </c:extLst>
        </c:ser>
        <c:dLbls>
          <c:showLegendKey val="0"/>
          <c:showVal val="0"/>
          <c:showCatName val="0"/>
          <c:showSerName val="0"/>
          <c:showPercent val="0"/>
          <c:showBubbleSize val="0"/>
        </c:dLbls>
        <c:smooth val="0"/>
        <c:axId val="275851520"/>
        <c:axId val="275857408"/>
      </c:lineChart>
      <c:catAx>
        <c:axId val="275851520"/>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275857408"/>
        <c:crosses val="autoZero"/>
        <c:auto val="1"/>
        <c:lblAlgn val="ctr"/>
        <c:lblOffset val="100"/>
        <c:noMultiLvlLbl val="0"/>
      </c:catAx>
      <c:valAx>
        <c:axId val="275857408"/>
        <c:scaling>
          <c:orientation val="minMax"/>
        </c:scaling>
        <c:delete val="0"/>
        <c:axPos val="l"/>
        <c:majorGridlines/>
        <c:title>
          <c:tx>
            <c:rich>
              <a:bodyPr/>
              <a:lstStyle/>
              <a:p>
                <a:pPr>
                  <a:defRPr/>
                </a:pPr>
                <a:r>
                  <a:rPr lang="en-US"/>
                  <a:t>SAPT BG Funding in $ Millions</a:t>
                </a:r>
              </a:p>
            </c:rich>
          </c:tx>
          <c:layout>
            <c:manualLayout>
              <c:xMode val="edge"/>
              <c:yMode val="edge"/>
              <c:x val="8.7064823934262237E-3"/>
              <c:y val="0.21053105381298132"/>
            </c:manualLayout>
          </c:layout>
          <c:overlay val="0"/>
        </c:title>
        <c:numFmt formatCode="General" sourceLinked="1"/>
        <c:majorTickMark val="none"/>
        <c:minorTickMark val="none"/>
        <c:tickLblPos val="nextTo"/>
        <c:crossAx val="275851520"/>
        <c:crosses val="autoZero"/>
        <c:crossBetween val="between"/>
      </c:valAx>
      <c:spPr>
        <a:ln>
          <a:solidFill>
            <a:schemeClr val="accent4"/>
          </a:solidFill>
        </a:ln>
      </c:spPr>
    </c:plotArea>
    <c:legend>
      <c:legendPos val="r"/>
      <c:layout>
        <c:manualLayout>
          <c:xMode val="edge"/>
          <c:yMode val="edge"/>
          <c:x val="0.77910657884096035"/>
          <c:y val="0.17248781402324709"/>
          <c:w val="0.19882139957888906"/>
          <c:h val="0.4566272965879265"/>
        </c:manualLayout>
      </c:layout>
      <c:overlay val="0"/>
    </c:legend>
    <c:plotVisOnly val="1"/>
    <c:dispBlanksAs val="gap"/>
    <c:showDLblsOverMax val="0"/>
  </c:chart>
  <c:spPr>
    <a:solidFill>
      <a:schemeClr val="accent4">
        <a:lumMod val="20000"/>
        <a:lumOff val="80000"/>
      </a:schemeClr>
    </a:solidFill>
    <a:ln w="12700">
      <a:solidFill>
        <a:schemeClr val="accent4"/>
      </a:solidFill>
    </a:ln>
  </c:spPr>
  <c:txPr>
    <a:bodyPr/>
    <a:lstStyle/>
    <a:p>
      <a:pPr>
        <a:defRPr sz="700">
          <a:latin typeface="Garamond" panose="02020404030301010803"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900" b="0"/>
              <a:t>Total State Substance Use Disorder Prevention Expenditures, </a:t>
            </a:r>
          </a:p>
          <a:p>
            <a:pPr>
              <a:defRPr/>
            </a:pPr>
            <a:r>
              <a:rPr lang="en-US" sz="900" b="0"/>
              <a:t>State FY 2015 ($577 million)</a:t>
            </a:r>
          </a:p>
        </c:rich>
      </c:tx>
      <c:layout>
        <c:manualLayout>
          <c:xMode val="edge"/>
          <c:yMode val="edge"/>
          <c:x val="0.12927587921153089"/>
          <c:y val="3.1343738986666918E-2"/>
        </c:manualLayout>
      </c:layout>
      <c:overlay val="0"/>
    </c:title>
    <c:autoTitleDeleted val="0"/>
    <c:plotArea>
      <c:layout/>
      <c:pieChart>
        <c:varyColors val="1"/>
        <c:ser>
          <c:idx val="0"/>
          <c:order val="0"/>
          <c:dLbls>
            <c:dLbl>
              <c:idx val="0"/>
              <c:layout>
                <c:manualLayout>
                  <c:x val="3.0140529308836397E-2"/>
                  <c:y val="-0.11728783902012248"/>
                </c:manualLayout>
              </c:layout>
              <c:tx>
                <c:rich>
                  <a:bodyPr/>
                  <a:lstStyle/>
                  <a:p>
                    <a:r>
                      <a:rPr lang="en-US"/>
                      <a:t>SAPT Block Grant 
65.378%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7DB-49FF-B146-453E8CA38DEB}"/>
                </c:ext>
              </c:extLst>
            </c:dLbl>
            <c:dLbl>
              <c:idx val="1"/>
              <c:tx>
                <c:rich>
                  <a:bodyPr/>
                  <a:lstStyle/>
                  <a:p>
                    <a:r>
                      <a:rPr lang="en-US"/>
                      <a:t>Medicaid
0.0001%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DB-49FF-B146-453E8CA38DEB}"/>
                </c:ext>
              </c:extLst>
            </c:dLbl>
            <c:dLbl>
              <c:idx val="2"/>
              <c:layout>
                <c:manualLayout>
                  <c:x val="-4.0356080489938759E-2"/>
                  <c:y val="-3.292395742198892E-2"/>
                </c:manualLayout>
              </c:layout>
              <c:tx>
                <c:rich>
                  <a:bodyPr/>
                  <a:lstStyle/>
                  <a:p>
                    <a:r>
                      <a:rPr lang="en-US"/>
                      <a:t>Other Federal
14.478%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7DB-49FF-B146-453E8CA38DEB}"/>
                </c:ext>
              </c:extLst>
            </c:dLbl>
            <c:dLbl>
              <c:idx val="3"/>
              <c:layout>
                <c:manualLayout>
                  <c:x val="-0.11913298337707787"/>
                  <c:y val="5.9507509477981918E-2"/>
                </c:manualLayout>
              </c:layout>
              <c:tx>
                <c:rich>
                  <a:bodyPr/>
                  <a:lstStyle/>
                  <a:p>
                    <a:r>
                      <a:rPr lang="en-US"/>
                      <a:t>State
19.785%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DB-49FF-B146-453E8CA38DEB}"/>
                </c:ext>
              </c:extLst>
            </c:dLbl>
            <c:dLbl>
              <c:idx val="4"/>
              <c:layout>
                <c:manualLayout>
                  <c:x val="0.24258906991692947"/>
                  <c:y val="6.0598564017760807E-2"/>
                </c:manualLayout>
              </c:layout>
              <c:tx>
                <c:rich>
                  <a:bodyPr/>
                  <a:lstStyle/>
                  <a:p>
                    <a:r>
                      <a:rPr lang="en-US"/>
                      <a:t>Local/ Other
0.0011%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7DB-49FF-B146-453E8CA38DEB}"/>
                </c:ext>
              </c:extLst>
            </c:dLbl>
            <c:numFmt formatCode="0.000%" sourceLinked="0"/>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SAPT Block Grant </c:v>
                </c:pt>
                <c:pt idx="1">
                  <c:v>Medicaid</c:v>
                </c:pt>
                <c:pt idx="2">
                  <c:v>Other Federal</c:v>
                </c:pt>
                <c:pt idx="3">
                  <c:v>State</c:v>
                </c:pt>
                <c:pt idx="4">
                  <c:v>Local/Other</c:v>
                </c:pt>
              </c:strCache>
            </c:strRef>
          </c:cat>
          <c:val>
            <c:numRef>
              <c:f>Sheet1!$B$2:$B$6</c:f>
              <c:numCache>
                <c:formatCode>0.00%</c:formatCode>
                <c:ptCount val="5"/>
                <c:pt idx="0">
                  <c:v>0.64300000000000002</c:v>
                </c:pt>
                <c:pt idx="1">
                  <c:v>1.0000000000000001E-5</c:v>
                </c:pt>
                <c:pt idx="2">
                  <c:v>0.11600000000000001</c:v>
                </c:pt>
                <c:pt idx="3">
                  <c:v>0.23599999999999999</c:v>
                </c:pt>
                <c:pt idx="4">
                  <c:v>5.7000000000000002E-3</c:v>
                </c:pt>
              </c:numCache>
            </c:numRef>
          </c:val>
          <c:extLst>
            <c:ext xmlns:c16="http://schemas.microsoft.com/office/drawing/2014/chart" uri="{C3380CC4-5D6E-409C-BE32-E72D297353CC}">
              <c16:uniqueId val="{00000005-97DB-49FF-B146-453E8CA38DE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accent1">
        <a:lumMod val="20000"/>
        <a:lumOff val="80000"/>
      </a:schemeClr>
    </a:solidFill>
    <a:ln w="12700">
      <a:solidFill>
        <a:schemeClr val="accent5"/>
      </a:solidFill>
    </a:ln>
  </c:spPr>
  <c:txPr>
    <a:bodyPr/>
    <a:lstStyle/>
    <a:p>
      <a:pPr>
        <a:defRPr>
          <a:latin typeface="+mj-lt"/>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0.73573</cdr:x>
      <cdr:y>0.20227</cdr:y>
    </cdr:from>
    <cdr:to>
      <cdr:x>0.77186</cdr:x>
      <cdr:y>0.41598</cdr:y>
    </cdr:to>
    <cdr:sp macro="" textlink="">
      <cdr:nvSpPr>
        <cdr:cNvPr id="2" name="Right Brace 1"/>
        <cdr:cNvSpPr/>
      </cdr:nvSpPr>
      <cdr:spPr>
        <a:xfrm xmlns:a="http://schemas.openxmlformats.org/drawingml/2006/main">
          <a:off x="3229691" y="514546"/>
          <a:ext cx="158602" cy="543637"/>
        </a:xfrm>
        <a:prstGeom xmlns:a="http://schemas.openxmlformats.org/drawingml/2006/main" prst="rightBrace">
          <a:avLst/>
        </a:prstGeom>
        <a:ln xmlns:a="http://schemas.openxmlformats.org/drawingml/2006/main" w="952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0.71111</cdr:x>
      <cdr:y>0.41598</cdr:y>
    </cdr:from>
    <cdr:to>
      <cdr:x>0.73573</cdr:x>
      <cdr:y>0.5461</cdr:y>
    </cdr:to>
    <cdr:cxnSp macro="">
      <cdr:nvCxnSpPr>
        <cdr:cNvPr id="3" name="Straight Connector 2"/>
        <cdr:cNvCxnSpPr>
          <a:endCxn xmlns:a="http://schemas.openxmlformats.org/drawingml/2006/main" id="2" idx="2"/>
        </cdr:cNvCxnSpPr>
      </cdr:nvCxnSpPr>
      <cdr:spPr>
        <a:xfrm xmlns:a="http://schemas.openxmlformats.org/drawingml/2006/main" flipV="1">
          <a:off x="3121615" y="1058183"/>
          <a:ext cx="108076" cy="331001"/>
        </a:xfrm>
        <a:prstGeom xmlns:a="http://schemas.openxmlformats.org/drawingml/2006/main" prst="line">
          <a:avLst/>
        </a:prstGeom>
        <a:ln xmlns:a="http://schemas.openxmlformats.org/drawingml/2006/main">
          <a:solidFill>
            <a:schemeClr val="accent6">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505F1C-7516-4E25-9CA9-4C169AAF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Wickramatilake</dc:creator>
  <cp:lastModifiedBy>Shalini Wickramatilake</cp:lastModifiedBy>
  <cp:revision>4</cp:revision>
  <cp:lastPrinted>2017-05-09T19:42:00Z</cp:lastPrinted>
  <dcterms:created xsi:type="dcterms:W3CDTF">2017-05-09T19:38:00Z</dcterms:created>
  <dcterms:modified xsi:type="dcterms:W3CDTF">2017-05-09T20:45:00Z</dcterms:modified>
</cp:coreProperties>
</file>