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C7CD" w14:textId="77777777" w:rsidR="002B3AFA" w:rsidRPr="00244108" w:rsidRDefault="002B3AFA" w:rsidP="007E5B74">
      <w:pPr>
        <w:pStyle w:val="Title"/>
        <w:spacing w:after="0"/>
        <w:rPr>
          <w:rFonts w:ascii="Garamond" w:hAnsi="Garamond"/>
          <w:sz w:val="36"/>
          <w:szCs w:val="36"/>
        </w:rPr>
      </w:pPr>
      <w:r w:rsidRPr="00244108">
        <w:rPr>
          <w:rFonts w:ascii="Garamond" w:hAnsi="Garamond"/>
          <w:sz w:val="36"/>
          <w:szCs w:val="36"/>
        </w:rPr>
        <w:t>Substance Abuse Prevention and Treatment (</w:t>
      </w:r>
      <w:r w:rsidR="002608E8" w:rsidRPr="00244108">
        <w:rPr>
          <w:rFonts w:ascii="Garamond" w:hAnsi="Garamond"/>
          <w:sz w:val="36"/>
          <w:szCs w:val="36"/>
        </w:rPr>
        <w:t>SAPT</w:t>
      </w:r>
      <w:r w:rsidRPr="00244108">
        <w:rPr>
          <w:rFonts w:ascii="Garamond" w:hAnsi="Garamond"/>
          <w:sz w:val="36"/>
          <w:szCs w:val="36"/>
        </w:rPr>
        <w:t>)</w:t>
      </w:r>
      <w:r w:rsidR="002608E8" w:rsidRPr="00244108">
        <w:rPr>
          <w:rFonts w:ascii="Garamond" w:hAnsi="Garamond"/>
          <w:sz w:val="36"/>
          <w:szCs w:val="36"/>
        </w:rPr>
        <w:t xml:space="preserve"> Block Grant</w:t>
      </w:r>
      <w:r w:rsidRPr="00244108">
        <w:rPr>
          <w:rFonts w:ascii="Garamond" w:hAnsi="Garamond"/>
          <w:sz w:val="36"/>
          <w:szCs w:val="36"/>
        </w:rPr>
        <w:t>:</w:t>
      </w:r>
      <w:r w:rsidR="002608E8" w:rsidRPr="00244108">
        <w:rPr>
          <w:rFonts w:ascii="Garamond" w:hAnsi="Garamond"/>
          <w:sz w:val="36"/>
          <w:szCs w:val="36"/>
        </w:rPr>
        <w:t xml:space="preserve"> </w:t>
      </w:r>
    </w:p>
    <w:p w14:paraId="6E04EC4B" w14:textId="77777777" w:rsidR="008F5A1C" w:rsidRPr="00244108" w:rsidRDefault="002608E8" w:rsidP="007E5B74">
      <w:pPr>
        <w:pStyle w:val="Title"/>
        <w:spacing w:after="0"/>
        <w:rPr>
          <w:rFonts w:ascii="Garamond" w:hAnsi="Garamond"/>
          <w:sz w:val="32"/>
          <w:szCs w:val="32"/>
        </w:rPr>
      </w:pPr>
      <w:r w:rsidRPr="00244108">
        <w:rPr>
          <w:rFonts w:ascii="Garamond" w:hAnsi="Garamond"/>
          <w:i/>
          <w:sz w:val="32"/>
          <w:szCs w:val="32"/>
        </w:rPr>
        <w:t>Prevention Set-Aside</w:t>
      </w:r>
    </w:p>
    <w:p w14:paraId="4DE9FDDE" w14:textId="77777777" w:rsidR="00D85EBB" w:rsidRPr="00244108" w:rsidRDefault="003C000B" w:rsidP="00D85EBB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  <w:r w:rsidRPr="00244108">
        <w:rPr>
          <w:rFonts w:ascii="Garamond" w:hAnsi="Garamond" w:cs="Times New Roman"/>
          <w:b/>
          <w:noProof/>
          <w:color w:val="5AA2AE" w:themeColor="accent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6B033" wp14:editId="6F525BBE">
                <wp:simplePos x="0" y="0"/>
                <wp:positionH relativeFrom="column">
                  <wp:posOffset>4377690</wp:posOffset>
                </wp:positionH>
                <wp:positionV relativeFrom="paragraph">
                  <wp:posOffset>48895</wp:posOffset>
                </wp:positionV>
                <wp:extent cx="2614295" cy="22237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4476" w14:textId="77777777" w:rsidR="004973E4" w:rsidRDefault="00497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44C76" wp14:editId="39BC5FF8">
                                  <wp:extent cx="2373198" cy="2114093"/>
                                  <wp:effectExtent l="0" t="0" r="27305" b="19685"/>
                                  <wp:docPr id="1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B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3.85pt;width:205.85pt;height:17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8NIQIAABw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" stroked="f">
                <v:textbox>
                  <w:txbxContent>
                    <w:p w14:paraId="33184476" w14:textId="77777777" w:rsidR="004973E4" w:rsidRDefault="004973E4">
                      <w:r>
                        <w:rPr>
                          <w:noProof/>
                        </w:rPr>
                        <w:drawing>
                          <wp:inline distT="0" distB="0" distL="0" distR="0" wp14:anchorId="5F844C76" wp14:editId="39BC5FF8">
                            <wp:extent cx="2373198" cy="2114093"/>
                            <wp:effectExtent l="0" t="0" r="27305" b="19685"/>
                            <wp:docPr id="1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EBB"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>Overview</w:t>
      </w:r>
      <w:r w:rsidR="004973E4"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24BD1AF9" w14:textId="64E092A5" w:rsidR="006A7DF8" w:rsidRPr="00244108" w:rsidRDefault="00D85EBB" w:rsidP="00CF71D3">
      <w:pPr>
        <w:tabs>
          <w:tab w:val="left" w:pos="2070"/>
        </w:tabs>
        <w:ind w:right="4050"/>
        <w:rPr>
          <w:rFonts w:ascii="Garamond" w:hAnsi="Garamond"/>
          <w:sz w:val="20"/>
          <w:szCs w:val="20"/>
        </w:rPr>
      </w:pPr>
      <w:r w:rsidRPr="00244108">
        <w:rPr>
          <w:rFonts w:ascii="Garamond" w:hAnsi="Garamond"/>
          <w:sz w:val="20"/>
          <w:szCs w:val="20"/>
        </w:rPr>
        <w:t xml:space="preserve">The Substance Abuse Prevention and Treatment (SAPT) Block Grant is the </w:t>
      </w:r>
      <w:r w:rsidR="00CE1E15" w:rsidRPr="00244108">
        <w:rPr>
          <w:rFonts w:ascii="Garamond" w:hAnsi="Garamond"/>
          <w:sz w:val="20"/>
          <w:szCs w:val="20"/>
        </w:rPr>
        <w:t>largest</w:t>
      </w:r>
      <w:r w:rsidRPr="00244108">
        <w:rPr>
          <w:rFonts w:ascii="Garamond" w:hAnsi="Garamond"/>
          <w:sz w:val="20"/>
          <w:szCs w:val="20"/>
        </w:rPr>
        <w:t xml:space="preserve"> federal </w:t>
      </w:r>
      <w:r w:rsidR="00583900" w:rsidRPr="00244108">
        <w:rPr>
          <w:rFonts w:ascii="Garamond" w:hAnsi="Garamond"/>
          <w:sz w:val="20"/>
          <w:szCs w:val="20"/>
        </w:rPr>
        <w:t>formula grant</w:t>
      </w:r>
      <w:r w:rsidRPr="00244108">
        <w:rPr>
          <w:rFonts w:ascii="Garamond" w:hAnsi="Garamond"/>
          <w:sz w:val="20"/>
          <w:szCs w:val="20"/>
        </w:rPr>
        <w:t xml:space="preserve"> </w:t>
      </w:r>
      <w:r w:rsidR="00583900" w:rsidRPr="00244108">
        <w:rPr>
          <w:rFonts w:ascii="Garamond" w:hAnsi="Garamond"/>
          <w:sz w:val="20"/>
          <w:szCs w:val="20"/>
        </w:rPr>
        <w:t>to</w:t>
      </w:r>
      <w:r w:rsidRPr="00244108">
        <w:rPr>
          <w:rFonts w:ascii="Garamond" w:hAnsi="Garamond"/>
          <w:sz w:val="20"/>
          <w:szCs w:val="20"/>
        </w:rPr>
        <w:t xml:space="preserve"> State </w:t>
      </w:r>
      <w:r w:rsidR="007754D7">
        <w:rPr>
          <w:rFonts w:ascii="Garamond" w:hAnsi="Garamond"/>
          <w:sz w:val="20"/>
          <w:szCs w:val="20"/>
        </w:rPr>
        <w:t>alcohol and drug authorities</w:t>
      </w:r>
      <w:r w:rsidR="0014717A" w:rsidRPr="00244108">
        <w:rPr>
          <w:rFonts w:ascii="Garamond" w:hAnsi="Garamond"/>
          <w:sz w:val="20"/>
          <w:szCs w:val="20"/>
        </w:rPr>
        <w:t>,</w:t>
      </w:r>
      <w:r w:rsidR="00583900" w:rsidRPr="00244108">
        <w:rPr>
          <w:rFonts w:ascii="Garamond" w:hAnsi="Garamond"/>
          <w:sz w:val="20"/>
          <w:szCs w:val="20"/>
        </w:rPr>
        <w:t xml:space="preserve"> supporting substance use </w:t>
      </w:r>
      <w:r w:rsidR="003C000B" w:rsidRPr="00244108">
        <w:rPr>
          <w:rFonts w:ascii="Garamond" w:hAnsi="Garamond"/>
          <w:sz w:val="20"/>
          <w:szCs w:val="20"/>
        </w:rPr>
        <w:t xml:space="preserve">disorder </w:t>
      </w:r>
      <w:r w:rsidRPr="00244108">
        <w:rPr>
          <w:rFonts w:ascii="Garamond" w:hAnsi="Garamond"/>
          <w:sz w:val="20"/>
          <w:szCs w:val="20"/>
        </w:rPr>
        <w:t>prevention, treatment</w:t>
      </w:r>
      <w:r w:rsidR="00242517" w:rsidRPr="00244108">
        <w:rPr>
          <w:rFonts w:ascii="Garamond" w:hAnsi="Garamond"/>
          <w:sz w:val="20"/>
          <w:szCs w:val="20"/>
        </w:rPr>
        <w:t>,</w:t>
      </w:r>
      <w:r w:rsidRPr="00244108">
        <w:rPr>
          <w:rFonts w:ascii="Garamond" w:hAnsi="Garamond"/>
          <w:sz w:val="20"/>
          <w:szCs w:val="20"/>
        </w:rPr>
        <w:t xml:space="preserve"> and recovery</w:t>
      </w:r>
      <w:r w:rsidR="00F926EF">
        <w:rPr>
          <w:rFonts w:ascii="Garamond" w:hAnsi="Garamond"/>
          <w:sz w:val="20"/>
          <w:szCs w:val="20"/>
        </w:rPr>
        <w:t xml:space="preserve">, amounting to </w:t>
      </w:r>
      <w:r w:rsidR="00F926EF" w:rsidRPr="00F926EF">
        <w:rPr>
          <w:rFonts w:ascii="Garamond" w:hAnsi="Garamond"/>
          <w:sz w:val="20"/>
          <w:szCs w:val="20"/>
        </w:rPr>
        <w:t>$1.858 billion</w:t>
      </w:r>
      <w:r w:rsidR="00F926EF">
        <w:rPr>
          <w:rFonts w:ascii="Garamond" w:hAnsi="Garamond"/>
          <w:sz w:val="20"/>
          <w:szCs w:val="20"/>
        </w:rPr>
        <w:t xml:space="preserve"> in FY 201</w:t>
      </w:r>
      <w:r w:rsidR="00265434">
        <w:rPr>
          <w:rFonts w:ascii="Garamond" w:hAnsi="Garamond"/>
          <w:sz w:val="20"/>
          <w:szCs w:val="20"/>
        </w:rPr>
        <w:t>7</w:t>
      </w:r>
      <w:r w:rsidRPr="00244108">
        <w:rPr>
          <w:rFonts w:ascii="Garamond" w:hAnsi="Garamond"/>
          <w:sz w:val="20"/>
          <w:szCs w:val="20"/>
        </w:rPr>
        <w:t>.</w:t>
      </w:r>
      <w:r w:rsidR="00790231" w:rsidRPr="00244108">
        <w:rPr>
          <w:rFonts w:ascii="Garamond" w:hAnsi="Garamond"/>
          <w:sz w:val="20"/>
          <w:szCs w:val="20"/>
        </w:rPr>
        <w:t xml:space="preserve"> </w:t>
      </w:r>
      <w:r w:rsidR="00790231" w:rsidRPr="00244108">
        <w:rPr>
          <w:rFonts w:ascii="Garamond" w:hAnsi="Garamond"/>
          <w:b/>
          <w:sz w:val="20"/>
          <w:szCs w:val="20"/>
        </w:rPr>
        <w:t xml:space="preserve">Federal statute requires States to direct at least 20 percent of the SAPT Block Grant toward </w:t>
      </w:r>
      <w:r w:rsidR="00242517" w:rsidRPr="00244108">
        <w:rPr>
          <w:rFonts w:ascii="Garamond" w:hAnsi="Garamond"/>
          <w:b/>
          <w:sz w:val="20"/>
          <w:szCs w:val="20"/>
        </w:rPr>
        <w:t>primary</w:t>
      </w:r>
      <w:r w:rsidR="00753A65" w:rsidRPr="00244108">
        <w:rPr>
          <w:rFonts w:ascii="Garamond" w:hAnsi="Garamond"/>
          <w:b/>
          <w:sz w:val="20"/>
          <w:szCs w:val="20"/>
        </w:rPr>
        <w:t xml:space="preserve"> prevention services</w:t>
      </w:r>
      <w:r w:rsidR="00753A65" w:rsidRPr="00244108">
        <w:rPr>
          <w:rFonts w:ascii="Garamond" w:hAnsi="Garamond"/>
          <w:sz w:val="20"/>
          <w:szCs w:val="20"/>
        </w:rPr>
        <w:t>, amounting to $371</w:t>
      </w:r>
      <w:r w:rsidR="00054DF6">
        <w:rPr>
          <w:rFonts w:ascii="Garamond" w:hAnsi="Garamond"/>
          <w:sz w:val="20"/>
          <w:szCs w:val="20"/>
        </w:rPr>
        <w:t xml:space="preserve"> </w:t>
      </w:r>
      <w:r w:rsidR="00753A65" w:rsidRPr="00244108">
        <w:rPr>
          <w:rFonts w:ascii="Garamond" w:hAnsi="Garamond"/>
          <w:sz w:val="20"/>
          <w:szCs w:val="20"/>
        </w:rPr>
        <w:t>million in FY 201</w:t>
      </w:r>
      <w:r w:rsidR="003C000B" w:rsidRPr="00244108">
        <w:rPr>
          <w:rFonts w:ascii="Garamond" w:hAnsi="Garamond"/>
          <w:sz w:val="20"/>
          <w:szCs w:val="20"/>
        </w:rPr>
        <w:t>7</w:t>
      </w:r>
      <w:r w:rsidR="009E6B87" w:rsidRPr="00244108">
        <w:rPr>
          <w:rFonts w:ascii="Garamond" w:hAnsi="Garamond"/>
          <w:sz w:val="20"/>
          <w:szCs w:val="20"/>
        </w:rPr>
        <w:t>.</w:t>
      </w:r>
      <w:r w:rsidR="00021E7A" w:rsidRPr="00244108">
        <w:rPr>
          <w:rFonts w:ascii="Garamond" w:hAnsi="Garamond"/>
          <w:sz w:val="20"/>
          <w:szCs w:val="20"/>
          <w:vertAlign w:val="superscript"/>
        </w:rPr>
        <w:t>1</w:t>
      </w:r>
      <w:r w:rsidR="009E6B87" w:rsidRPr="00244108">
        <w:rPr>
          <w:rFonts w:ascii="Garamond" w:hAnsi="Garamond"/>
          <w:sz w:val="20"/>
          <w:szCs w:val="20"/>
        </w:rPr>
        <w:t xml:space="preserve"> </w:t>
      </w:r>
      <w:r w:rsidR="00790231" w:rsidRPr="00244108">
        <w:rPr>
          <w:rFonts w:ascii="Garamond" w:hAnsi="Garamond"/>
          <w:sz w:val="20"/>
          <w:szCs w:val="20"/>
        </w:rPr>
        <w:t>Th</w:t>
      </w:r>
      <w:r w:rsidR="00E30957" w:rsidRPr="00244108">
        <w:rPr>
          <w:rFonts w:ascii="Garamond" w:hAnsi="Garamond"/>
          <w:sz w:val="20"/>
          <w:szCs w:val="20"/>
        </w:rPr>
        <w:t>e</w:t>
      </w:r>
      <w:r w:rsidR="00790231" w:rsidRPr="00244108">
        <w:rPr>
          <w:rFonts w:ascii="Garamond" w:hAnsi="Garamond"/>
          <w:sz w:val="20"/>
          <w:szCs w:val="20"/>
        </w:rPr>
        <w:t xml:space="preserve"> prevention set-aside </w:t>
      </w:r>
      <w:r w:rsidR="00472931" w:rsidRPr="00244108">
        <w:rPr>
          <w:rFonts w:ascii="Garamond" w:hAnsi="Garamond"/>
          <w:sz w:val="20"/>
          <w:szCs w:val="20"/>
        </w:rPr>
        <w:t>represents the</w:t>
      </w:r>
      <w:r w:rsidR="00527E09" w:rsidRPr="00244108">
        <w:rPr>
          <w:rFonts w:ascii="Garamond" w:hAnsi="Garamond"/>
          <w:sz w:val="20"/>
          <w:szCs w:val="20"/>
        </w:rPr>
        <w:t xml:space="preserve"> </w:t>
      </w:r>
      <w:r w:rsidR="00472931" w:rsidRPr="00244108">
        <w:rPr>
          <w:rFonts w:ascii="Garamond" w:hAnsi="Garamond"/>
          <w:sz w:val="20"/>
          <w:szCs w:val="20"/>
        </w:rPr>
        <w:t>single largest source</w:t>
      </w:r>
      <w:r w:rsidR="00790231" w:rsidRPr="00244108">
        <w:rPr>
          <w:rFonts w:ascii="Garamond" w:hAnsi="Garamond"/>
          <w:sz w:val="20"/>
          <w:szCs w:val="20"/>
        </w:rPr>
        <w:t xml:space="preserve"> </w:t>
      </w:r>
      <w:r w:rsidR="00242517" w:rsidRPr="00244108">
        <w:rPr>
          <w:rFonts w:ascii="Garamond" w:hAnsi="Garamond"/>
          <w:sz w:val="20"/>
          <w:szCs w:val="20"/>
        </w:rPr>
        <w:t>of</w:t>
      </w:r>
      <w:r w:rsidR="00790231" w:rsidRPr="00244108">
        <w:rPr>
          <w:rFonts w:ascii="Garamond" w:hAnsi="Garamond"/>
          <w:sz w:val="20"/>
          <w:szCs w:val="20"/>
        </w:rPr>
        <w:t xml:space="preserve"> </w:t>
      </w:r>
      <w:r w:rsidR="00472931" w:rsidRPr="00244108">
        <w:rPr>
          <w:rFonts w:ascii="Garamond" w:hAnsi="Garamond"/>
          <w:sz w:val="20"/>
          <w:szCs w:val="20"/>
        </w:rPr>
        <w:t xml:space="preserve">funding in </w:t>
      </w:r>
      <w:r w:rsidR="00790231" w:rsidRPr="00244108">
        <w:rPr>
          <w:rFonts w:ascii="Garamond" w:hAnsi="Garamond"/>
          <w:sz w:val="20"/>
          <w:szCs w:val="20"/>
        </w:rPr>
        <w:t>ea</w:t>
      </w:r>
      <w:r w:rsidR="006C6CDE" w:rsidRPr="00244108">
        <w:rPr>
          <w:rFonts w:ascii="Garamond" w:hAnsi="Garamond"/>
          <w:sz w:val="20"/>
          <w:szCs w:val="20"/>
        </w:rPr>
        <w:t xml:space="preserve">ch State’s prevention </w:t>
      </w:r>
      <w:r w:rsidR="00472931" w:rsidRPr="00244108">
        <w:rPr>
          <w:rFonts w:ascii="Garamond" w:hAnsi="Garamond"/>
          <w:sz w:val="20"/>
          <w:szCs w:val="20"/>
        </w:rPr>
        <w:t>system</w:t>
      </w:r>
      <w:r w:rsidR="006C6CDE" w:rsidRPr="00244108">
        <w:rPr>
          <w:rFonts w:ascii="Garamond" w:hAnsi="Garamond"/>
          <w:sz w:val="20"/>
          <w:szCs w:val="20"/>
        </w:rPr>
        <w:t>, making up</w:t>
      </w:r>
      <w:r w:rsidR="001A1275" w:rsidRPr="00244108">
        <w:rPr>
          <w:rFonts w:ascii="Garamond" w:hAnsi="Garamond"/>
          <w:sz w:val="20"/>
          <w:szCs w:val="20"/>
        </w:rPr>
        <w:t xml:space="preserve"> </w:t>
      </w:r>
      <w:r w:rsidR="00244574" w:rsidRPr="00244108">
        <w:rPr>
          <w:rFonts w:ascii="Garamond" w:hAnsi="Garamond"/>
          <w:sz w:val="20"/>
          <w:szCs w:val="20"/>
        </w:rPr>
        <w:t>65</w:t>
      </w:r>
      <w:r w:rsidR="00472931" w:rsidRPr="00244108">
        <w:rPr>
          <w:rFonts w:ascii="Garamond" w:hAnsi="Garamond"/>
          <w:b/>
          <w:sz w:val="20"/>
          <w:szCs w:val="20"/>
        </w:rPr>
        <w:t xml:space="preserve"> </w:t>
      </w:r>
      <w:r w:rsidR="00472931" w:rsidRPr="00244108">
        <w:rPr>
          <w:rFonts w:ascii="Garamond" w:hAnsi="Garamond"/>
          <w:sz w:val="20"/>
          <w:szCs w:val="20"/>
        </w:rPr>
        <w:t>percent</w:t>
      </w:r>
      <w:r w:rsidR="001A1275" w:rsidRPr="00244108">
        <w:rPr>
          <w:rFonts w:ascii="Garamond" w:hAnsi="Garamond"/>
          <w:sz w:val="20"/>
          <w:szCs w:val="20"/>
        </w:rPr>
        <w:t xml:space="preserve"> </w:t>
      </w:r>
      <w:r w:rsidR="006C6CDE" w:rsidRPr="00244108">
        <w:rPr>
          <w:rFonts w:ascii="Garamond" w:hAnsi="Garamond"/>
          <w:sz w:val="20"/>
          <w:szCs w:val="20"/>
        </w:rPr>
        <w:t xml:space="preserve">of </w:t>
      </w:r>
      <w:r w:rsidR="00242517" w:rsidRPr="00244108">
        <w:rPr>
          <w:rFonts w:ascii="Garamond" w:hAnsi="Garamond"/>
          <w:sz w:val="20"/>
          <w:szCs w:val="20"/>
        </w:rPr>
        <w:t xml:space="preserve">the </w:t>
      </w:r>
      <w:r w:rsidR="006C6CDE" w:rsidRPr="00244108">
        <w:rPr>
          <w:rFonts w:ascii="Garamond" w:hAnsi="Garamond"/>
          <w:sz w:val="20"/>
          <w:szCs w:val="20"/>
        </w:rPr>
        <w:t>primary</w:t>
      </w:r>
      <w:r w:rsidR="009E6B87" w:rsidRPr="00244108">
        <w:rPr>
          <w:rFonts w:ascii="Garamond" w:hAnsi="Garamond"/>
          <w:sz w:val="20"/>
          <w:szCs w:val="20"/>
        </w:rPr>
        <w:t xml:space="preserve"> substance abuse</w:t>
      </w:r>
      <w:r w:rsidR="006C6CDE" w:rsidRPr="00244108">
        <w:rPr>
          <w:rFonts w:ascii="Garamond" w:hAnsi="Garamond"/>
          <w:sz w:val="20"/>
          <w:szCs w:val="20"/>
        </w:rPr>
        <w:t xml:space="preserve"> prevention funding</w:t>
      </w:r>
      <w:r w:rsidR="00242517" w:rsidRPr="00244108">
        <w:rPr>
          <w:rFonts w:ascii="Garamond" w:hAnsi="Garamond"/>
          <w:sz w:val="20"/>
          <w:szCs w:val="20"/>
        </w:rPr>
        <w:t xml:space="preserve"> </w:t>
      </w:r>
      <w:r w:rsidR="002C0300" w:rsidRPr="00244108">
        <w:rPr>
          <w:rFonts w:ascii="Garamond" w:hAnsi="Garamond"/>
          <w:sz w:val="20"/>
          <w:szCs w:val="20"/>
        </w:rPr>
        <w:t>States, U.S. te</w:t>
      </w:r>
      <w:r w:rsidR="00244574" w:rsidRPr="00244108">
        <w:rPr>
          <w:rFonts w:ascii="Garamond" w:hAnsi="Garamond"/>
          <w:sz w:val="20"/>
          <w:szCs w:val="20"/>
        </w:rPr>
        <w:t>rritories, and Washington, D.C.</w:t>
      </w:r>
      <w:r w:rsidR="003C000B" w:rsidRPr="00244108">
        <w:rPr>
          <w:rFonts w:ascii="Garamond" w:hAnsi="Garamond"/>
          <w:sz w:val="20"/>
          <w:szCs w:val="20"/>
        </w:rPr>
        <w:t xml:space="preserve"> have.</w:t>
      </w:r>
      <w:r w:rsidR="00021E7A" w:rsidRPr="00244108">
        <w:rPr>
          <w:rFonts w:ascii="Garamond" w:hAnsi="Garamond"/>
          <w:sz w:val="20"/>
          <w:szCs w:val="20"/>
          <w:vertAlign w:val="superscript"/>
        </w:rPr>
        <w:t>2</w:t>
      </w:r>
      <w:r w:rsidR="000E2671" w:rsidRPr="00244108">
        <w:rPr>
          <w:rFonts w:ascii="Garamond" w:hAnsi="Garamond"/>
          <w:sz w:val="20"/>
          <w:szCs w:val="20"/>
        </w:rPr>
        <w:t xml:space="preserve"> In terms of overall substance </w:t>
      </w:r>
      <w:r w:rsidR="00FE76D8" w:rsidRPr="00244108">
        <w:rPr>
          <w:rFonts w:ascii="Garamond" w:hAnsi="Garamond"/>
          <w:sz w:val="20"/>
          <w:szCs w:val="20"/>
        </w:rPr>
        <w:t>use disorder</w:t>
      </w:r>
      <w:r w:rsidR="000E2671" w:rsidRPr="00244108">
        <w:rPr>
          <w:rFonts w:ascii="Garamond" w:hAnsi="Garamond"/>
          <w:sz w:val="20"/>
          <w:szCs w:val="20"/>
        </w:rPr>
        <w:t xml:space="preserve"> prevention funding</w:t>
      </w:r>
      <w:r w:rsidR="00E30957" w:rsidRPr="00244108">
        <w:rPr>
          <w:rFonts w:ascii="Garamond" w:hAnsi="Garamond"/>
          <w:sz w:val="20"/>
          <w:szCs w:val="20"/>
        </w:rPr>
        <w:t xml:space="preserve"> managed by State </w:t>
      </w:r>
      <w:r w:rsidR="007754D7">
        <w:rPr>
          <w:rFonts w:ascii="Garamond" w:hAnsi="Garamond"/>
          <w:sz w:val="20"/>
          <w:szCs w:val="20"/>
        </w:rPr>
        <w:t>alcohol and drug authorities</w:t>
      </w:r>
      <w:r w:rsidR="00BC47CC" w:rsidRPr="00244108">
        <w:rPr>
          <w:rFonts w:ascii="Garamond" w:hAnsi="Garamond"/>
          <w:sz w:val="20"/>
          <w:szCs w:val="20"/>
        </w:rPr>
        <w:t>, in:</w:t>
      </w:r>
    </w:p>
    <w:p w14:paraId="05C07676" w14:textId="77777777" w:rsidR="000E2671" w:rsidRPr="00244108" w:rsidRDefault="00C256FE" w:rsidP="00CF71D3">
      <w:pPr>
        <w:pStyle w:val="ListParagraph"/>
        <w:numPr>
          <w:ilvl w:val="0"/>
          <w:numId w:val="22"/>
        </w:numPr>
        <w:tabs>
          <w:tab w:val="left" w:pos="2070"/>
        </w:tabs>
        <w:rPr>
          <w:rFonts w:ascii="Garamond" w:hAnsi="Garamond"/>
          <w:sz w:val="20"/>
          <w:szCs w:val="20"/>
        </w:rPr>
      </w:pPr>
      <w:r w:rsidRPr="00244108">
        <w:rPr>
          <w:rFonts w:ascii="Garamond" w:hAnsi="Garamond"/>
          <w:sz w:val="20"/>
          <w:szCs w:val="20"/>
        </w:rPr>
        <w:t>4</w:t>
      </w:r>
      <w:r w:rsidR="000E2671" w:rsidRPr="00244108">
        <w:rPr>
          <w:rFonts w:ascii="Garamond" w:hAnsi="Garamond"/>
          <w:sz w:val="20"/>
          <w:szCs w:val="20"/>
        </w:rPr>
        <w:t xml:space="preserve"> States, the set-aside makes up 100 percent;</w:t>
      </w:r>
    </w:p>
    <w:p w14:paraId="438D4297" w14:textId="77777777" w:rsidR="000E2671" w:rsidRPr="00244108" w:rsidRDefault="000E2671" w:rsidP="00CF71D3">
      <w:pPr>
        <w:pStyle w:val="ListParagraph"/>
        <w:numPr>
          <w:ilvl w:val="0"/>
          <w:numId w:val="22"/>
        </w:numPr>
        <w:tabs>
          <w:tab w:val="left" w:pos="2070"/>
        </w:tabs>
        <w:rPr>
          <w:rFonts w:ascii="Garamond" w:hAnsi="Garamond"/>
          <w:sz w:val="20"/>
          <w:szCs w:val="20"/>
        </w:rPr>
      </w:pPr>
      <w:r w:rsidRPr="00244108">
        <w:rPr>
          <w:rFonts w:ascii="Garamond" w:hAnsi="Garamond"/>
          <w:sz w:val="20"/>
          <w:szCs w:val="20"/>
        </w:rPr>
        <w:t>1</w:t>
      </w:r>
      <w:r w:rsidR="00C256FE" w:rsidRPr="00244108">
        <w:rPr>
          <w:rFonts w:ascii="Garamond" w:hAnsi="Garamond"/>
          <w:sz w:val="20"/>
          <w:szCs w:val="20"/>
        </w:rPr>
        <w:t>4</w:t>
      </w:r>
      <w:r w:rsidRPr="00244108">
        <w:rPr>
          <w:rFonts w:ascii="Garamond" w:hAnsi="Garamond"/>
          <w:sz w:val="20"/>
          <w:szCs w:val="20"/>
        </w:rPr>
        <w:t xml:space="preserve"> States, the set-aside makes up 75-99 percent;</w:t>
      </w:r>
    </w:p>
    <w:p w14:paraId="1D407DC3" w14:textId="77777777" w:rsidR="000E2671" w:rsidRPr="00244108" w:rsidRDefault="00C256FE" w:rsidP="00CF71D3">
      <w:pPr>
        <w:pStyle w:val="ListParagraph"/>
        <w:numPr>
          <w:ilvl w:val="0"/>
          <w:numId w:val="22"/>
        </w:numPr>
        <w:tabs>
          <w:tab w:val="left" w:pos="2070"/>
        </w:tabs>
        <w:rPr>
          <w:rFonts w:ascii="Garamond" w:hAnsi="Garamond"/>
          <w:sz w:val="20"/>
          <w:szCs w:val="20"/>
        </w:rPr>
      </w:pPr>
      <w:r w:rsidRPr="00244108">
        <w:rPr>
          <w:rFonts w:ascii="Garamond" w:hAnsi="Garamond"/>
          <w:sz w:val="20"/>
          <w:szCs w:val="20"/>
        </w:rPr>
        <w:t>19</w:t>
      </w:r>
      <w:r w:rsidR="000E2671" w:rsidRPr="00244108">
        <w:rPr>
          <w:rFonts w:ascii="Garamond" w:hAnsi="Garamond"/>
          <w:sz w:val="20"/>
          <w:szCs w:val="20"/>
        </w:rPr>
        <w:t xml:space="preserve"> States, the set-aside makes up 50-74 percent;</w:t>
      </w:r>
    </w:p>
    <w:p w14:paraId="4E2572B0" w14:textId="77777777" w:rsidR="000E2671" w:rsidRPr="00244108" w:rsidRDefault="00C256FE" w:rsidP="00CF71D3">
      <w:pPr>
        <w:pStyle w:val="ListParagraph"/>
        <w:numPr>
          <w:ilvl w:val="0"/>
          <w:numId w:val="22"/>
        </w:numPr>
        <w:tabs>
          <w:tab w:val="left" w:pos="2070"/>
        </w:tabs>
        <w:rPr>
          <w:rFonts w:ascii="Garamond" w:hAnsi="Garamond"/>
          <w:sz w:val="20"/>
          <w:szCs w:val="20"/>
        </w:rPr>
      </w:pPr>
      <w:r w:rsidRPr="00244108">
        <w:rPr>
          <w:rFonts w:ascii="Garamond" w:hAnsi="Garamond"/>
          <w:sz w:val="20"/>
          <w:szCs w:val="20"/>
        </w:rPr>
        <w:t>11</w:t>
      </w:r>
      <w:r w:rsidR="000E2671" w:rsidRPr="00244108">
        <w:rPr>
          <w:rFonts w:ascii="Garamond" w:hAnsi="Garamond"/>
          <w:sz w:val="20"/>
          <w:szCs w:val="20"/>
        </w:rPr>
        <w:t xml:space="preserve"> States, the set-aside makes up 25-49 percent; and </w:t>
      </w:r>
    </w:p>
    <w:p w14:paraId="0DADA368" w14:textId="77777777" w:rsidR="000E2671" w:rsidRPr="00244108" w:rsidRDefault="000E2671" w:rsidP="00CF71D3">
      <w:pPr>
        <w:pStyle w:val="ListParagraph"/>
        <w:numPr>
          <w:ilvl w:val="0"/>
          <w:numId w:val="22"/>
        </w:numPr>
        <w:tabs>
          <w:tab w:val="left" w:pos="2070"/>
        </w:tabs>
        <w:rPr>
          <w:rFonts w:ascii="Garamond" w:hAnsi="Garamond"/>
          <w:sz w:val="20"/>
          <w:szCs w:val="20"/>
        </w:rPr>
      </w:pPr>
      <w:r w:rsidRPr="00244108">
        <w:rPr>
          <w:rFonts w:ascii="Garamond" w:hAnsi="Garamond"/>
          <w:sz w:val="20"/>
          <w:szCs w:val="20"/>
        </w:rPr>
        <w:t>3 States, the set-aside makes up 2</w:t>
      </w:r>
      <w:r w:rsidR="00DA38AD" w:rsidRPr="00244108">
        <w:rPr>
          <w:rFonts w:ascii="Garamond" w:hAnsi="Garamond"/>
          <w:sz w:val="20"/>
          <w:szCs w:val="20"/>
        </w:rPr>
        <w:t>4</w:t>
      </w:r>
      <w:r w:rsidRPr="00244108">
        <w:rPr>
          <w:rFonts w:ascii="Garamond" w:hAnsi="Garamond"/>
          <w:sz w:val="20"/>
          <w:szCs w:val="20"/>
        </w:rPr>
        <w:t xml:space="preserve"> percent or less.</w:t>
      </w:r>
    </w:p>
    <w:p w14:paraId="59627B9C" w14:textId="77777777" w:rsidR="00FF54F5" w:rsidRPr="00244108" w:rsidRDefault="00FF54F5" w:rsidP="00FF54F5">
      <w:pPr>
        <w:tabs>
          <w:tab w:val="left" w:pos="2070"/>
        </w:tabs>
        <w:rPr>
          <w:rFonts w:ascii="Garamond" w:hAnsi="Garamond"/>
          <w:sz w:val="20"/>
          <w:szCs w:val="20"/>
        </w:rPr>
      </w:pPr>
    </w:p>
    <w:p w14:paraId="322CFDAB" w14:textId="77777777" w:rsidR="00FF54F5" w:rsidRPr="00244108" w:rsidRDefault="000E2671" w:rsidP="00FF54F5">
      <w:pPr>
        <w:tabs>
          <w:tab w:val="left" w:pos="2070"/>
        </w:tabs>
        <w:rPr>
          <w:rFonts w:ascii="Garamond" w:hAnsi="Garamond"/>
          <w:sz w:val="20"/>
          <w:szCs w:val="20"/>
        </w:rPr>
      </w:pPr>
      <w:r w:rsidRPr="00244108">
        <w:rPr>
          <w:rFonts w:ascii="Garamond" w:hAnsi="Garamond"/>
          <w:sz w:val="20"/>
          <w:szCs w:val="20"/>
        </w:rPr>
        <w:t>Other resources, including State funding (</w:t>
      </w:r>
      <w:r w:rsidR="001A1275" w:rsidRPr="00244108">
        <w:rPr>
          <w:rFonts w:ascii="Garamond" w:hAnsi="Garamond"/>
          <w:sz w:val="20"/>
          <w:szCs w:val="20"/>
        </w:rPr>
        <w:t>19.8</w:t>
      </w:r>
      <w:r w:rsidRPr="00244108">
        <w:rPr>
          <w:rFonts w:ascii="Garamond" w:hAnsi="Garamond"/>
          <w:sz w:val="20"/>
          <w:szCs w:val="20"/>
        </w:rPr>
        <w:t>%) and other federal funding</w:t>
      </w:r>
      <w:r w:rsidR="00F0221B" w:rsidRPr="00244108">
        <w:rPr>
          <w:rFonts w:ascii="Garamond" w:hAnsi="Garamond"/>
          <w:sz w:val="20"/>
          <w:szCs w:val="20"/>
        </w:rPr>
        <w:t xml:space="preserve"> including </w:t>
      </w:r>
      <w:r w:rsidR="00597500" w:rsidRPr="00244108">
        <w:rPr>
          <w:rFonts w:ascii="Garamond" w:hAnsi="Garamond"/>
          <w:sz w:val="20"/>
          <w:szCs w:val="20"/>
        </w:rPr>
        <w:t>discretionary grants</w:t>
      </w:r>
      <w:r w:rsidRPr="00244108">
        <w:rPr>
          <w:rFonts w:ascii="Garamond" w:hAnsi="Garamond"/>
          <w:sz w:val="20"/>
          <w:szCs w:val="20"/>
        </w:rPr>
        <w:t xml:space="preserve"> (</w:t>
      </w:r>
      <w:r w:rsidR="001A1275" w:rsidRPr="00244108">
        <w:rPr>
          <w:rFonts w:ascii="Garamond" w:hAnsi="Garamond"/>
          <w:sz w:val="20"/>
          <w:szCs w:val="20"/>
        </w:rPr>
        <w:t>14.5</w:t>
      </w:r>
      <w:r w:rsidRPr="00244108">
        <w:rPr>
          <w:rFonts w:ascii="Garamond" w:hAnsi="Garamond"/>
          <w:sz w:val="20"/>
          <w:szCs w:val="20"/>
        </w:rPr>
        <w:t xml:space="preserve">%), play an important role in providing State substance </w:t>
      </w:r>
      <w:r w:rsidR="005924EE" w:rsidRPr="00244108">
        <w:rPr>
          <w:rFonts w:ascii="Garamond" w:hAnsi="Garamond"/>
          <w:sz w:val="20"/>
          <w:szCs w:val="20"/>
        </w:rPr>
        <w:t>use disorder</w:t>
      </w:r>
      <w:r w:rsidRPr="00244108">
        <w:rPr>
          <w:rFonts w:ascii="Garamond" w:hAnsi="Garamond"/>
          <w:sz w:val="20"/>
          <w:szCs w:val="20"/>
        </w:rPr>
        <w:t xml:space="preserve"> prevention services, but the SAPT Block Grant prevention set-aside </w:t>
      </w:r>
      <w:r w:rsidR="00A721F5" w:rsidRPr="00244108">
        <w:rPr>
          <w:rFonts w:ascii="Garamond" w:hAnsi="Garamond"/>
          <w:sz w:val="20"/>
          <w:szCs w:val="20"/>
        </w:rPr>
        <w:t>is the primary source of funding.</w:t>
      </w:r>
      <w:r w:rsidR="00021E7A" w:rsidRPr="00244108">
        <w:rPr>
          <w:rFonts w:ascii="Garamond" w:hAnsi="Garamond"/>
          <w:sz w:val="20"/>
          <w:szCs w:val="20"/>
          <w:vertAlign w:val="superscript"/>
        </w:rPr>
        <w:t xml:space="preserve"> 2</w:t>
      </w:r>
      <w:r w:rsidR="00A721F5" w:rsidRPr="00244108">
        <w:rPr>
          <w:rFonts w:ascii="Garamond" w:hAnsi="Garamond"/>
          <w:sz w:val="20"/>
          <w:szCs w:val="20"/>
        </w:rPr>
        <w:t xml:space="preserve"> </w:t>
      </w:r>
      <w:bookmarkStart w:id="0" w:name="_GoBack"/>
      <w:bookmarkEnd w:id="0"/>
    </w:p>
    <w:p w14:paraId="030C557A" w14:textId="77777777" w:rsidR="00161A6E" w:rsidRPr="00244108" w:rsidRDefault="00161A6E" w:rsidP="00BA1481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</w:p>
    <w:p w14:paraId="0B37E052" w14:textId="77777777" w:rsidR="00BA1481" w:rsidRPr="00244108" w:rsidRDefault="00BA1481" w:rsidP="00BA1481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>Scope of the Problem</w:t>
      </w:r>
      <w:r w:rsidR="004D2A9C"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 xml:space="preserve"> </w:t>
      </w:r>
    </w:p>
    <w:p w14:paraId="79A569B4" w14:textId="77777777" w:rsidR="00196625" w:rsidRPr="00244108" w:rsidRDefault="00472931" w:rsidP="00E67C08">
      <w:p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>Substance use disorders</w:t>
      </w:r>
      <w:r w:rsidR="00BA1481" w:rsidRPr="00244108">
        <w:rPr>
          <w:rFonts w:ascii="Garamond" w:hAnsi="Garamond" w:cs="Times New Roman"/>
          <w:sz w:val="20"/>
          <w:szCs w:val="20"/>
        </w:rPr>
        <w:t xml:space="preserve"> continue to be a major problem in the United States. </w:t>
      </w:r>
      <w:r w:rsidR="005924EE" w:rsidRPr="00244108">
        <w:rPr>
          <w:rFonts w:ascii="Garamond" w:hAnsi="Garamond" w:cs="Times New Roman"/>
          <w:sz w:val="20"/>
          <w:szCs w:val="20"/>
        </w:rPr>
        <w:t>The 2015</w:t>
      </w:r>
      <w:r w:rsidR="005045AB" w:rsidRPr="00244108">
        <w:rPr>
          <w:rFonts w:ascii="Garamond" w:hAnsi="Garamond" w:cs="Times New Roman"/>
          <w:sz w:val="20"/>
          <w:szCs w:val="20"/>
        </w:rPr>
        <w:t xml:space="preserve"> National Survey</w:t>
      </w:r>
      <w:r w:rsidR="00E67C08" w:rsidRPr="00244108">
        <w:rPr>
          <w:rFonts w:ascii="Garamond" w:hAnsi="Garamond" w:cs="Times New Roman"/>
          <w:sz w:val="20"/>
          <w:szCs w:val="20"/>
        </w:rPr>
        <w:t xml:space="preserve"> on Drug Use and Health (NSDUH) </w:t>
      </w:r>
      <w:r w:rsidR="00B877D3" w:rsidRPr="00244108">
        <w:rPr>
          <w:rFonts w:ascii="Garamond" w:hAnsi="Garamond" w:cs="Times New Roman"/>
          <w:sz w:val="20"/>
          <w:szCs w:val="20"/>
        </w:rPr>
        <w:t xml:space="preserve">provides </w:t>
      </w:r>
      <w:r w:rsidR="005045AB" w:rsidRPr="00244108">
        <w:rPr>
          <w:rFonts w:ascii="Garamond" w:hAnsi="Garamond" w:cs="Times New Roman"/>
          <w:sz w:val="20"/>
          <w:szCs w:val="20"/>
        </w:rPr>
        <w:t xml:space="preserve">the following </w:t>
      </w:r>
      <w:r w:rsidR="00B877D3" w:rsidRPr="00244108">
        <w:rPr>
          <w:rFonts w:ascii="Garamond" w:hAnsi="Garamond" w:cs="Times New Roman"/>
          <w:sz w:val="20"/>
          <w:szCs w:val="20"/>
        </w:rPr>
        <w:t xml:space="preserve">estimates </w:t>
      </w:r>
      <w:r w:rsidR="005045AB" w:rsidRPr="00244108">
        <w:rPr>
          <w:rFonts w:ascii="Garamond" w:hAnsi="Garamond" w:cs="Times New Roman"/>
          <w:sz w:val="20"/>
          <w:szCs w:val="20"/>
        </w:rPr>
        <w:t xml:space="preserve">about </w:t>
      </w:r>
      <w:r w:rsidR="00B50B0C" w:rsidRPr="00244108">
        <w:rPr>
          <w:rFonts w:ascii="Garamond" w:hAnsi="Garamond" w:cs="Times New Roman"/>
          <w:sz w:val="20"/>
          <w:szCs w:val="20"/>
        </w:rPr>
        <w:t>drug use in the United States</w:t>
      </w:r>
      <w:r w:rsidR="00021E7A" w:rsidRPr="00244108">
        <w:rPr>
          <w:rFonts w:ascii="Garamond" w:hAnsi="Garamond" w:cs="Times New Roman"/>
          <w:sz w:val="20"/>
          <w:szCs w:val="20"/>
          <w:vertAlign w:val="superscript"/>
        </w:rPr>
        <w:t>3</w:t>
      </w:r>
      <w:r w:rsidR="00B50B0C" w:rsidRPr="00244108">
        <w:rPr>
          <w:rFonts w:ascii="Garamond" w:hAnsi="Garamond" w:cs="Times New Roman"/>
          <w:sz w:val="20"/>
          <w:szCs w:val="20"/>
        </w:rPr>
        <w:t>:</w:t>
      </w:r>
      <w:r w:rsidR="00196625" w:rsidRPr="00244108">
        <w:rPr>
          <w:rFonts w:ascii="Garamond" w:hAnsi="Garamond" w:cs="Times New Roman"/>
          <w:sz w:val="20"/>
          <w:szCs w:val="20"/>
          <w:vertAlign w:val="superscript"/>
        </w:rPr>
        <w:t xml:space="preserve"> </w:t>
      </w:r>
    </w:p>
    <w:p w14:paraId="59D50CE6" w14:textId="2E888CAD" w:rsidR="00FE4C5D" w:rsidRPr="00244108" w:rsidRDefault="00FE4C5D" w:rsidP="00FE4C5D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 xml:space="preserve">27.1 million (12 </w:t>
      </w:r>
      <w:r w:rsidR="00054DF6">
        <w:rPr>
          <w:rFonts w:ascii="Garamond" w:hAnsi="Garamond" w:cs="Times New Roman"/>
          <w:sz w:val="20"/>
          <w:szCs w:val="20"/>
        </w:rPr>
        <w:t>and</w:t>
      </w:r>
      <w:r w:rsidRPr="00244108">
        <w:rPr>
          <w:rFonts w:ascii="Garamond" w:hAnsi="Garamond" w:cs="Times New Roman"/>
          <w:sz w:val="20"/>
          <w:szCs w:val="20"/>
        </w:rPr>
        <w:t xml:space="preserve"> older) used illicit drugs in the past month.</w:t>
      </w:r>
    </w:p>
    <w:p w14:paraId="5D5CC179" w14:textId="478986AA" w:rsidR="00FE4C5D" w:rsidRPr="00244108" w:rsidRDefault="00FE4C5D" w:rsidP="00FE4C5D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 xml:space="preserve">22.2 million (12 </w:t>
      </w:r>
      <w:r w:rsidR="00054DF6">
        <w:rPr>
          <w:rFonts w:ascii="Garamond" w:hAnsi="Garamond" w:cs="Times New Roman"/>
          <w:sz w:val="20"/>
          <w:szCs w:val="20"/>
        </w:rPr>
        <w:t>and</w:t>
      </w:r>
      <w:r w:rsidRPr="00244108">
        <w:rPr>
          <w:rFonts w:ascii="Garamond" w:hAnsi="Garamond" w:cs="Times New Roman"/>
          <w:sz w:val="20"/>
          <w:szCs w:val="20"/>
        </w:rPr>
        <w:t xml:space="preserve"> older) used marijuana (1.8 million adolescents</w:t>
      </w:r>
      <w:r w:rsidR="00054DF6">
        <w:rPr>
          <w:rFonts w:ascii="Garamond" w:hAnsi="Garamond" w:cs="Times New Roman"/>
          <w:sz w:val="20"/>
          <w:szCs w:val="20"/>
        </w:rPr>
        <w:t xml:space="preserve"> age 12-17</w:t>
      </w:r>
      <w:r w:rsidRPr="00244108">
        <w:rPr>
          <w:rFonts w:ascii="Garamond" w:hAnsi="Garamond" w:cs="Times New Roman"/>
          <w:sz w:val="20"/>
          <w:szCs w:val="20"/>
        </w:rPr>
        <w:t>).</w:t>
      </w:r>
    </w:p>
    <w:p w14:paraId="4A772AB4" w14:textId="01FFFBFB" w:rsidR="00597500" w:rsidRPr="00244108" w:rsidRDefault="00FE4C5D" w:rsidP="00196625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>17</w:t>
      </w:r>
      <w:r w:rsidR="002C0D6D" w:rsidRPr="00244108">
        <w:rPr>
          <w:rFonts w:ascii="Garamond" w:hAnsi="Garamond" w:cs="Times New Roman"/>
          <w:sz w:val="20"/>
          <w:szCs w:val="20"/>
        </w:rPr>
        <w:t>.3</w:t>
      </w:r>
      <w:r w:rsidR="00597500" w:rsidRPr="00244108">
        <w:rPr>
          <w:rFonts w:ascii="Garamond" w:hAnsi="Garamond" w:cs="Times New Roman"/>
          <w:sz w:val="20"/>
          <w:szCs w:val="20"/>
        </w:rPr>
        <w:t xml:space="preserve"> million (12 </w:t>
      </w:r>
      <w:r w:rsidR="00054DF6">
        <w:rPr>
          <w:rFonts w:ascii="Garamond" w:hAnsi="Garamond" w:cs="Times New Roman"/>
          <w:sz w:val="20"/>
          <w:szCs w:val="20"/>
        </w:rPr>
        <w:t>and</w:t>
      </w:r>
      <w:r w:rsidR="00597500" w:rsidRPr="00244108">
        <w:rPr>
          <w:rFonts w:ascii="Garamond" w:hAnsi="Garamond" w:cs="Times New Roman"/>
          <w:sz w:val="20"/>
          <w:szCs w:val="20"/>
        </w:rPr>
        <w:t xml:space="preserve"> older) reported heavy </w:t>
      </w:r>
      <w:r w:rsidR="00A956DD" w:rsidRPr="00244108">
        <w:rPr>
          <w:rFonts w:ascii="Garamond" w:hAnsi="Garamond" w:cs="Times New Roman"/>
          <w:sz w:val="20"/>
          <w:szCs w:val="20"/>
        </w:rPr>
        <w:t>alcohol use</w:t>
      </w:r>
      <w:r w:rsidR="00597500" w:rsidRPr="00244108">
        <w:rPr>
          <w:rFonts w:ascii="Garamond" w:hAnsi="Garamond" w:cs="Times New Roman"/>
          <w:sz w:val="20"/>
          <w:szCs w:val="20"/>
        </w:rPr>
        <w:t xml:space="preserve"> in the past month.</w:t>
      </w:r>
    </w:p>
    <w:p w14:paraId="58AE1CDF" w14:textId="547285F4" w:rsidR="005924EE" w:rsidRPr="00244108" w:rsidRDefault="005924EE" w:rsidP="005924EE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 xml:space="preserve">3.8 million (12 </w:t>
      </w:r>
      <w:r w:rsidR="00054DF6">
        <w:rPr>
          <w:rFonts w:ascii="Garamond" w:hAnsi="Garamond" w:cs="Times New Roman"/>
          <w:sz w:val="20"/>
          <w:szCs w:val="20"/>
        </w:rPr>
        <w:t>and</w:t>
      </w:r>
      <w:r w:rsidRPr="00244108">
        <w:rPr>
          <w:rFonts w:ascii="Garamond" w:hAnsi="Garamond" w:cs="Times New Roman"/>
          <w:sz w:val="20"/>
          <w:szCs w:val="20"/>
        </w:rPr>
        <w:t xml:space="preserve"> older) misused prescription pain relievers. </w:t>
      </w:r>
    </w:p>
    <w:p w14:paraId="2A967CEA" w14:textId="77777777" w:rsidR="009B7936" w:rsidRPr="00244108" w:rsidRDefault="007C3969" w:rsidP="00196625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>2.</w:t>
      </w:r>
      <w:r w:rsidR="00FE4C5D" w:rsidRPr="00244108">
        <w:rPr>
          <w:rFonts w:ascii="Garamond" w:hAnsi="Garamond" w:cs="Times New Roman"/>
          <w:sz w:val="20"/>
          <w:szCs w:val="20"/>
        </w:rPr>
        <w:t>2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 million adolescents (12-17)</w:t>
      </w:r>
      <w:r w:rsidR="009B7936" w:rsidRPr="00244108">
        <w:rPr>
          <w:rFonts w:ascii="Garamond" w:hAnsi="Garamond" w:cs="Times New Roman"/>
          <w:sz w:val="20"/>
          <w:szCs w:val="20"/>
        </w:rPr>
        <w:t xml:space="preserve"> used illicit drugs in the past month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. </w:t>
      </w:r>
    </w:p>
    <w:p w14:paraId="6A42F80B" w14:textId="4889BD35" w:rsidR="00E134F3" w:rsidRPr="00244108" w:rsidRDefault="00E134F3" w:rsidP="00CF71D3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>1.</w:t>
      </w:r>
      <w:r w:rsidR="00FE4C5D" w:rsidRPr="00244108">
        <w:rPr>
          <w:rFonts w:ascii="Garamond" w:hAnsi="Garamond" w:cs="Times New Roman"/>
          <w:sz w:val="20"/>
          <w:szCs w:val="20"/>
        </w:rPr>
        <w:t>9</w:t>
      </w:r>
      <w:r w:rsidRPr="00244108">
        <w:rPr>
          <w:rFonts w:ascii="Garamond" w:hAnsi="Garamond" w:cs="Times New Roman"/>
          <w:sz w:val="20"/>
          <w:szCs w:val="20"/>
        </w:rPr>
        <w:t xml:space="preserve"> million </w:t>
      </w:r>
      <w:r w:rsidR="009B7936" w:rsidRPr="00244108">
        <w:rPr>
          <w:rFonts w:ascii="Garamond" w:hAnsi="Garamond" w:cs="Times New Roman"/>
          <w:sz w:val="20"/>
          <w:szCs w:val="20"/>
        </w:rPr>
        <w:t>(</w:t>
      </w:r>
      <w:r w:rsidRPr="00244108">
        <w:rPr>
          <w:rFonts w:ascii="Garamond" w:hAnsi="Garamond" w:cs="Times New Roman"/>
          <w:sz w:val="20"/>
          <w:szCs w:val="20"/>
        </w:rPr>
        <w:t xml:space="preserve">12 </w:t>
      </w:r>
      <w:r w:rsidR="00054DF6">
        <w:rPr>
          <w:rFonts w:ascii="Garamond" w:hAnsi="Garamond" w:cs="Times New Roman"/>
          <w:sz w:val="20"/>
          <w:szCs w:val="20"/>
        </w:rPr>
        <w:t>and</w:t>
      </w:r>
      <w:r w:rsidRPr="00244108">
        <w:rPr>
          <w:rFonts w:ascii="Garamond" w:hAnsi="Garamond" w:cs="Times New Roman"/>
          <w:sz w:val="20"/>
          <w:szCs w:val="20"/>
        </w:rPr>
        <w:t xml:space="preserve"> older</w:t>
      </w:r>
      <w:r w:rsidR="009B7936" w:rsidRPr="00244108">
        <w:rPr>
          <w:rFonts w:ascii="Garamond" w:hAnsi="Garamond" w:cs="Times New Roman"/>
          <w:sz w:val="20"/>
          <w:szCs w:val="20"/>
        </w:rPr>
        <w:t>)</w:t>
      </w:r>
      <w:r w:rsidRPr="00244108">
        <w:rPr>
          <w:rFonts w:ascii="Garamond" w:hAnsi="Garamond" w:cs="Times New Roman"/>
          <w:sz w:val="20"/>
          <w:szCs w:val="20"/>
        </w:rPr>
        <w:t xml:space="preserve"> used cocaine.</w:t>
      </w:r>
    </w:p>
    <w:p w14:paraId="2632B270" w14:textId="672C6362" w:rsidR="009B7936" w:rsidRPr="00244108" w:rsidRDefault="00FE4C5D" w:rsidP="00196625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>21.7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 million </w:t>
      </w:r>
      <w:r w:rsidR="009B7936" w:rsidRPr="00244108">
        <w:rPr>
          <w:rFonts w:ascii="Garamond" w:hAnsi="Garamond" w:cs="Times New Roman"/>
          <w:sz w:val="20"/>
          <w:szCs w:val="20"/>
        </w:rPr>
        <w:t>(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12 </w:t>
      </w:r>
      <w:r w:rsidR="00054DF6">
        <w:rPr>
          <w:rFonts w:ascii="Garamond" w:hAnsi="Garamond" w:cs="Times New Roman"/>
          <w:sz w:val="20"/>
          <w:szCs w:val="20"/>
        </w:rPr>
        <w:t>and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 older</w:t>
      </w:r>
      <w:r w:rsidR="009B7936" w:rsidRPr="00244108">
        <w:rPr>
          <w:rFonts w:ascii="Garamond" w:hAnsi="Garamond" w:cs="Times New Roman"/>
          <w:sz w:val="20"/>
          <w:szCs w:val="20"/>
        </w:rPr>
        <w:t>)</w:t>
      </w:r>
      <w:r w:rsidR="007672DB" w:rsidRPr="00244108">
        <w:rPr>
          <w:rFonts w:ascii="Garamond" w:hAnsi="Garamond" w:cs="Times New Roman"/>
          <w:sz w:val="20"/>
          <w:szCs w:val="20"/>
        </w:rPr>
        <w:t xml:space="preserve"> required treatment 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for a substance use problem. </w:t>
      </w:r>
    </w:p>
    <w:p w14:paraId="01F43082" w14:textId="77777777" w:rsidR="00196625" w:rsidRPr="00244108" w:rsidRDefault="00FE4C5D" w:rsidP="00196625">
      <w:pPr>
        <w:pStyle w:val="ListParagraph"/>
        <w:numPr>
          <w:ilvl w:val="0"/>
          <w:numId w:val="21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>3.0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 million (</w:t>
      </w:r>
      <w:r w:rsidRPr="00244108">
        <w:rPr>
          <w:rFonts w:ascii="Garamond" w:hAnsi="Garamond" w:cs="Times New Roman"/>
          <w:sz w:val="20"/>
          <w:szCs w:val="20"/>
        </w:rPr>
        <w:t>14.2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%) of </w:t>
      </w:r>
      <w:r w:rsidRPr="00244108">
        <w:rPr>
          <w:rFonts w:ascii="Garamond" w:hAnsi="Garamond" w:cs="Times New Roman"/>
          <w:sz w:val="20"/>
          <w:szCs w:val="20"/>
        </w:rPr>
        <w:t>adults</w:t>
      </w:r>
      <w:r w:rsidR="00196625" w:rsidRPr="00244108">
        <w:rPr>
          <w:rFonts w:ascii="Garamond" w:hAnsi="Garamond" w:cs="Times New Roman"/>
          <w:sz w:val="20"/>
          <w:szCs w:val="20"/>
        </w:rPr>
        <w:t xml:space="preserve"> who needed treatment received it.</w:t>
      </w:r>
      <w:r w:rsidR="00E134F3" w:rsidRPr="00244108">
        <w:rPr>
          <w:rFonts w:ascii="Garamond" w:hAnsi="Garamond" w:cs="Times New Roman"/>
          <w:sz w:val="20"/>
          <w:szCs w:val="20"/>
        </w:rPr>
        <w:t xml:space="preserve"> In 2010 only 9.7 percent received treatment.</w:t>
      </w:r>
      <w:r w:rsidR="00A721F5" w:rsidRPr="00244108">
        <w:rPr>
          <w:rFonts w:ascii="Garamond" w:hAnsi="Garamond" w:cs="Times New Roman"/>
          <w:sz w:val="20"/>
          <w:szCs w:val="20"/>
        </w:rPr>
        <w:br/>
      </w:r>
    </w:p>
    <w:p w14:paraId="0FF59916" w14:textId="77777777" w:rsidR="004D2A9C" w:rsidRPr="00244108" w:rsidRDefault="00244108" w:rsidP="00B5435A">
      <w:p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b/>
          <w:noProof/>
          <w:color w:val="5AA2AE" w:themeColor="accent5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5968DF5" wp14:editId="3BD0D0E3">
            <wp:simplePos x="0" y="0"/>
            <wp:positionH relativeFrom="column">
              <wp:posOffset>69215</wp:posOffset>
            </wp:positionH>
            <wp:positionV relativeFrom="paragraph">
              <wp:posOffset>1873885</wp:posOffset>
            </wp:positionV>
            <wp:extent cx="3386455" cy="1616075"/>
            <wp:effectExtent l="0" t="0" r="23495" b="2222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108">
        <w:rPr>
          <w:rFonts w:ascii="Garamond" w:hAnsi="Garamond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4EA68FC" wp14:editId="3FCA6131">
            <wp:simplePos x="0" y="0"/>
            <wp:positionH relativeFrom="column">
              <wp:posOffset>3528060</wp:posOffset>
            </wp:positionH>
            <wp:positionV relativeFrom="paragraph">
              <wp:posOffset>1873250</wp:posOffset>
            </wp:positionV>
            <wp:extent cx="3258820" cy="1617345"/>
            <wp:effectExtent l="0" t="0" r="17780" b="2095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108">
        <w:rPr>
          <w:rFonts w:ascii="Garamond" w:hAnsi="Garamond" w:cs="Times New Roman"/>
          <w:b/>
          <w:noProof/>
          <w:color w:val="5AA2AE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F5FE1" wp14:editId="4D0E14BA">
                <wp:simplePos x="0" y="0"/>
                <wp:positionH relativeFrom="column">
                  <wp:posOffset>17780</wp:posOffset>
                </wp:positionH>
                <wp:positionV relativeFrom="paragraph">
                  <wp:posOffset>644525</wp:posOffset>
                </wp:positionV>
                <wp:extent cx="6828155" cy="2881630"/>
                <wp:effectExtent l="0" t="0" r="10795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88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5C01" w14:textId="77777777" w:rsidR="00E3792B" w:rsidRPr="00244108" w:rsidRDefault="00E3792B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18"/>
                              </w:rPr>
                              <w:t>Prevention Success Stories</w:t>
                            </w:r>
                          </w:p>
                          <w:p w14:paraId="716664C8" w14:textId="77777777" w:rsidR="00E3792B" w:rsidRPr="00244108" w:rsidRDefault="00BF083F" w:rsidP="001C6E06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The Monitoring the Future study has tracked drug use trends among </w:t>
                            </w:r>
                            <w:r w:rsidR="00B071F5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high school students</w:t>
                            </w: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B071F5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the past </w:t>
                            </w:r>
                            <w:r w:rsidR="00030103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42</w:t>
                            </w: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years.</w:t>
                            </w:r>
                            <w:r w:rsidR="00F42D1B" w:rsidRPr="00244108">
                              <w:rPr>
                                <w:rFonts w:ascii="Garamond" w:hAnsi="Garamond"/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1240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The data provide a window into high school seniors’ substance use, </w:t>
                            </w:r>
                            <w:r w:rsidR="0014717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and</w:t>
                            </w:r>
                            <w:r w:rsidR="007C1240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offer insights into successful prevention efforts.</w:t>
                            </w: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1AE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Past year alcohol use among high school seniors has</w:t>
                            </w:r>
                            <w:r w:rsidR="00030103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been</w:t>
                            </w:r>
                            <w:r w:rsidR="007301AE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103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trending</w:t>
                            </w:r>
                            <w:r w:rsidR="007301AE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downward </w:t>
                            </w:r>
                            <w:r w:rsidR="00030103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in recent years, and is currently at the lowest rate since the year 2000</w:t>
                            </w:r>
                            <w:r w:rsidR="007301AE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</w:t>
                            </w:r>
                            <w:r w:rsidR="007F324B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71F5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Additionally, in 2016 t</w:t>
                            </w:r>
                            <w:r w:rsidR="001C6E06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he rate of teens reporting they have "been drunk" in the past year (37.3%) </w:t>
                            </w:r>
                            <w:r w:rsidR="00B071F5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was the lowest in the survey’s history.</w:t>
                            </w:r>
                            <w:r w:rsidR="001C6E06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71F5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Looking at the last decade, use of prescription opioid pain relievers and cocaine has also decreased among 12</w:t>
                            </w:r>
                            <w:r w:rsidR="00B071F5" w:rsidRPr="00244108">
                              <w:rPr>
                                <w:rFonts w:ascii="Garamond" w:hAnsi="Garamon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071F5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graders. </w:t>
                            </w:r>
                            <w:r w:rsidR="001C6E06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Although non-medical use of prescription opioids remains a serious issue in the adult population, teen use of prescription opioid pain relievers is trending downwards among </w:t>
                            </w:r>
                            <w:r w:rsidR="00AD6228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12th graders</w:t>
                            </w:r>
                            <w:r w:rsidR="0014717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,</w:t>
                            </w:r>
                            <w:r w:rsidR="00AD6228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with a 45% </w:t>
                            </w:r>
                            <w:r w:rsidR="001C6E06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drop in past year use compared to five years ago. </w:t>
                            </w:r>
                            <w:r w:rsidR="007F324B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While </w:t>
                            </w:r>
                            <w:r w:rsidR="0014717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work remains, </w:t>
                            </w:r>
                            <w:r w:rsidR="00AD6228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especially </w:t>
                            </w:r>
                            <w:r w:rsidR="0014717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with regard to </w:t>
                            </w:r>
                            <w:r w:rsidR="00AD6228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marijuana</w:t>
                            </w:r>
                            <w:r w:rsidR="007754D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use</w:t>
                            </w:r>
                            <w:r w:rsidR="0014717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prevention, </w:t>
                            </w:r>
                            <w:r w:rsidR="00AD6228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it is</w:t>
                            </w:r>
                            <w:r w:rsidR="007F324B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important to recognize </w:t>
                            </w:r>
                            <w:r w:rsidR="003C000B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the success of prevention efforts </w:t>
                            </w:r>
                            <w:r w:rsidR="007F324B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and build </w:t>
                            </w:r>
                            <w:r w:rsidR="003C000B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up</w:t>
                            </w:r>
                            <w:r w:rsidR="007F324B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on the body of evidence supporting prevention.</w:t>
                            </w:r>
                          </w:p>
                          <w:p w14:paraId="0035455F" w14:textId="77777777" w:rsidR="00E3792B" w:rsidRPr="00244108" w:rsidRDefault="00E3792B">
                            <w:pPr>
                              <w:rPr>
                                <w:rFonts w:asciiTheme="majorHAnsi" w:hAnsiTheme="majorHAnsi"/>
                                <w:b/>
                                <w:color w:val="5AA2AE" w:themeColor="accent5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5FE1" id="_x0000_s1027" type="#_x0000_t202" style="position:absolute;margin-left:1.4pt;margin-top:50.75pt;width:537.65pt;height:2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" fillcolor="#dfebf5 [660]" strokecolor="#5aa2ae [3208]" strokeweight="1pt">
                <v:textbox>
                  <w:txbxContent>
                    <w:p w14:paraId="41D05C01" w14:textId="77777777" w:rsidR="00E3792B" w:rsidRPr="00244108" w:rsidRDefault="00E3792B">
                      <w:pPr>
                        <w:rPr>
                          <w:rFonts w:ascii="Garamond" w:hAnsi="Garamond"/>
                          <w:b/>
                          <w:i/>
                          <w:sz w:val="20"/>
                          <w:szCs w:val="18"/>
                        </w:rPr>
                      </w:pPr>
                      <w:r w:rsidRPr="00244108">
                        <w:rPr>
                          <w:rFonts w:ascii="Garamond" w:hAnsi="Garamond"/>
                          <w:b/>
                          <w:i/>
                          <w:sz w:val="20"/>
                          <w:szCs w:val="18"/>
                        </w:rPr>
                        <w:t>Prevention Success Stories</w:t>
                      </w:r>
                    </w:p>
                    <w:p w14:paraId="716664C8" w14:textId="77777777" w:rsidR="00E3792B" w:rsidRPr="00244108" w:rsidRDefault="00BF083F" w:rsidP="001C6E06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The Monitoring the Future study has tracked drug use trends among </w:t>
                      </w:r>
                      <w:r w:rsidR="00B071F5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high school students</w:t>
                      </w: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for </w:t>
                      </w:r>
                      <w:r w:rsidR="00B071F5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the past </w:t>
                      </w:r>
                      <w:r w:rsidR="00030103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42</w:t>
                      </w: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years.</w:t>
                      </w:r>
                      <w:r w:rsidR="00F42D1B" w:rsidRPr="00244108">
                        <w:rPr>
                          <w:rFonts w:ascii="Garamond" w:hAnsi="Garamond"/>
                          <w:sz w:val="18"/>
                          <w:szCs w:val="18"/>
                          <w:vertAlign w:val="superscript"/>
                        </w:rPr>
                        <w:t>6</w:t>
                      </w: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7C1240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The data provide a window into high school seniors’ substance use, </w:t>
                      </w:r>
                      <w:r w:rsidR="0014717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and</w:t>
                      </w:r>
                      <w:r w:rsidR="007C1240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offer insights into successful prevention efforts.</w:t>
                      </w: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7301AE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Past year alcohol use among high school seniors has</w:t>
                      </w:r>
                      <w:r w:rsidR="00030103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been</w:t>
                      </w:r>
                      <w:r w:rsidR="007301AE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030103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trending</w:t>
                      </w:r>
                      <w:r w:rsidR="007301AE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downward </w:t>
                      </w:r>
                      <w:r w:rsidR="00030103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in recent years, and is currently at the lowest rate since the year 2000</w:t>
                      </w:r>
                      <w:r w:rsidR="007301AE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.</w:t>
                      </w:r>
                      <w:r w:rsidR="007F324B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B071F5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Additionally, in 2016 t</w:t>
                      </w:r>
                      <w:r w:rsidR="001C6E06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he rate of teens reporting they have "been drunk" in the past year (37.3%) </w:t>
                      </w:r>
                      <w:r w:rsidR="00B071F5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was the lowest in the survey’s history.</w:t>
                      </w:r>
                      <w:r w:rsidR="001C6E06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B071F5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Looking at the last decade, use of prescription opioid pain relievers and cocaine has also decreased among 12</w:t>
                      </w:r>
                      <w:r w:rsidR="00B071F5" w:rsidRPr="00244108">
                        <w:rPr>
                          <w:rFonts w:ascii="Garamond" w:hAnsi="Garamond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071F5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graders. </w:t>
                      </w:r>
                      <w:r w:rsidR="001C6E06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Although non-medical use of prescription opioids remains a serious issue in the adult population, teen use of prescription opioid pain relievers is trending downwards among </w:t>
                      </w:r>
                      <w:r w:rsidR="00AD6228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12th graders</w:t>
                      </w:r>
                      <w:r w:rsidR="0014717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,</w:t>
                      </w:r>
                      <w:r w:rsidR="00AD6228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with a 45% </w:t>
                      </w:r>
                      <w:r w:rsidR="001C6E06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drop in past year use compared to five years ago. </w:t>
                      </w:r>
                      <w:r w:rsidR="007F324B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While </w:t>
                      </w:r>
                      <w:r w:rsidR="0014717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work remains, </w:t>
                      </w:r>
                      <w:r w:rsidR="00AD6228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especially </w:t>
                      </w:r>
                      <w:r w:rsidR="0014717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with regard to </w:t>
                      </w:r>
                      <w:r w:rsidR="00AD6228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marijuana</w:t>
                      </w:r>
                      <w:r w:rsidR="007754D7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use</w:t>
                      </w:r>
                      <w:r w:rsidR="0014717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prevention, </w:t>
                      </w:r>
                      <w:r w:rsidR="00AD6228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it is</w:t>
                      </w:r>
                      <w:r w:rsidR="007F324B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important to recognize </w:t>
                      </w:r>
                      <w:r w:rsidR="003C000B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the success of prevention efforts </w:t>
                      </w:r>
                      <w:r w:rsidR="007F324B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and build </w:t>
                      </w:r>
                      <w:r w:rsidR="003C000B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up</w:t>
                      </w:r>
                      <w:r w:rsidR="007F324B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on the body of evidence supporting prevention.</w:t>
                      </w:r>
                    </w:p>
                    <w:p w14:paraId="0035455F" w14:textId="77777777" w:rsidR="00E3792B" w:rsidRPr="00244108" w:rsidRDefault="00E3792B">
                      <w:pPr>
                        <w:rPr>
                          <w:rFonts w:asciiTheme="majorHAnsi" w:hAnsiTheme="majorHAnsi"/>
                          <w:b/>
                          <w:color w:val="5AA2AE" w:themeColor="accent5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34F3" w:rsidRPr="00244108">
        <w:rPr>
          <w:rFonts w:ascii="Garamond" w:hAnsi="Garamond" w:cs="Times New Roman"/>
          <w:sz w:val="20"/>
          <w:szCs w:val="20"/>
        </w:rPr>
        <w:t>NSDUH data show that the overall rate of current (past month) illicit drug use rose from 8.7 percent of individ</w:t>
      </w:r>
      <w:r w:rsidR="0022001D" w:rsidRPr="00244108">
        <w:rPr>
          <w:rFonts w:ascii="Garamond" w:hAnsi="Garamond" w:cs="Times New Roman"/>
          <w:sz w:val="20"/>
          <w:szCs w:val="20"/>
        </w:rPr>
        <w:t>uals 12 and older in 2011 to 10.</w:t>
      </w:r>
      <w:r w:rsidR="0085623A" w:rsidRPr="00244108">
        <w:rPr>
          <w:rFonts w:ascii="Garamond" w:hAnsi="Garamond" w:cs="Times New Roman"/>
          <w:sz w:val="20"/>
          <w:szCs w:val="20"/>
        </w:rPr>
        <w:t>1 percent in 2015</w:t>
      </w:r>
      <w:r w:rsidR="00E134F3" w:rsidRPr="00244108">
        <w:rPr>
          <w:rFonts w:ascii="Garamond" w:hAnsi="Garamond" w:cs="Times New Roman"/>
          <w:sz w:val="20"/>
          <w:szCs w:val="20"/>
        </w:rPr>
        <w:t>.</w:t>
      </w:r>
      <w:r w:rsidR="00021E7A" w:rsidRPr="00244108">
        <w:rPr>
          <w:rFonts w:ascii="Garamond" w:hAnsi="Garamond" w:cs="Times New Roman"/>
          <w:sz w:val="20"/>
          <w:szCs w:val="20"/>
          <w:vertAlign w:val="superscript"/>
        </w:rPr>
        <w:t>3</w:t>
      </w:r>
      <w:r w:rsidR="00472931" w:rsidRPr="00244108">
        <w:rPr>
          <w:rFonts w:ascii="Garamond" w:hAnsi="Garamond" w:cs="Times New Roman"/>
          <w:sz w:val="20"/>
          <w:szCs w:val="20"/>
        </w:rPr>
        <w:t xml:space="preserve"> </w:t>
      </w:r>
      <w:r w:rsidR="004D2A9C" w:rsidRPr="00244108">
        <w:rPr>
          <w:rFonts w:ascii="Garamond" w:hAnsi="Garamond" w:cs="Times New Roman"/>
          <w:sz w:val="20"/>
          <w:szCs w:val="20"/>
        </w:rPr>
        <w:t>Alcohol abuse is the fourth leading cause of preventable death according to the Centers for Disease Control and Prevention (CDC).</w:t>
      </w:r>
      <w:r w:rsidR="00021E7A" w:rsidRPr="00244108">
        <w:rPr>
          <w:rFonts w:ascii="Garamond" w:hAnsi="Garamond" w:cs="Times New Roman"/>
          <w:sz w:val="20"/>
          <w:szCs w:val="20"/>
          <w:vertAlign w:val="superscript"/>
        </w:rPr>
        <w:t>4</w:t>
      </w:r>
      <w:r w:rsidR="004D2A9C" w:rsidRPr="00244108">
        <w:rPr>
          <w:rFonts w:ascii="Garamond" w:hAnsi="Garamond" w:cs="Times New Roman"/>
          <w:sz w:val="20"/>
          <w:szCs w:val="20"/>
          <w:vertAlign w:val="superscript"/>
        </w:rPr>
        <w:t xml:space="preserve"> </w:t>
      </w:r>
      <w:r w:rsidR="0085623A" w:rsidRPr="00244108">
        <w:rPr>
          <w:rFonts w:ascii="Garamond" w:hAnsi="Garamond" w:cs="Times New Roman"/>
          <w:sz w:val="20"/>
          <w:szCs w:val="20"/>
        </w:rPr>
        <w:t>There were 55,403 lethal drug overdoses in 2015</w:t>
      </w:r>
      <w:r w:rsidR="004D2A9C" w:rsidRPr="00244108">
        <w:rPr>
          <w:rFonts w:ascii="Garamond" w:hAnsi="Garamond" w:cs="Times New Roman"/>
          <w:sz w:val="20"/>
          <w:szCs w:val="20"/>
        </w:rPr>
        <w:t xml:space="preserve">, </w:t>
      </w:r>
      <w:r w:rsidR="0085623A" w:rsidRPr="00244108">
        <w:rPr>
          <w:rFonts w:ascii="Garamond" w:hAnsi="Garamond" w:cs="Times New Roman"/>
          <w:sz w:val="20"/>
          <w:szCs w:val="20"/>
        </w:rPr>
        <w:t>and more</w:t>
      </w:r>
      <w:r w:rsidR="004D2A9C" w:rsidRPr="00244108">
        <w:rPr>
          <w:rFonts w:ascii="Garamond" w:hAnsi="Garamond" w:cs="Times New Roman"/>
          <w:sz w:val="20"/>
          <w:szCs w:val="20"/>
        </w:rPr>
        <w:t xml:space="preserve"> than half (</w:t>
      </w:r>
      <w:r w:rsidR="0085623A" w:rsidRPr="00244108">
        <w:rPr>
          <w:rFonts w:ascii="Garamond" w:hAnsi="Garamond" w:cs="Times New Roman"/>
          <w:sz w:val="20"/>
          <w:szCs w:val="20"/>
        </w:rPr>
        <w:t>59.7</w:t>
      </w:r>
      <w:r w:rsidR="004D2A9C" w:rsidRPr="00244108">
        <w:rPr>
          <w:rFonts w:ascii="Garamond" w:hAnsi="Garamond" w:cs="Times New Roman"/>
          <w:sz w:val="20"/>
          <w:szCs w:val="20"/>
        </w:rPr>
        <w:t>%) were related to opioid</w:t>
      </w:r>
      <w:r w:rsidR="0085623A" w:rsidRPr="00244108">
        <w:rPr>
          <w:rFonts w:ascii="Garamond" w:hAnsi="Garamond" w:cs="Times New Roman"/>
          <w:sz w:val="20"/>
          <w:szCs w:val="20"/>
        </w:rPr>
        <w:t>s</w:t>
      </w:r>
      <w:r w:rsidR="004D2A9C" w:rsidRPr="00244108">
        <w:rPr>
          <w:rFonts w:ascii="Garamond" w:hAnsi="Garamond" w:cs="Times New Roman"/>
          <w:sz w:val="20"/>
          <w:szCs w:val="20"/>
        </w:rPr>
        <w:t>.</w:t>
      </w:r>
      <w:r w:rsidR="00021E7A" w:rsidRPr="00244108">
        <w:rPr>
          <w:rFonts w:ascii="Garamond" w:hAnsi="Garamond" w:cs="Times New Roman"/>
          <w:sz w:val="20"/>
          <w:szCs w:val="20"/>
          <w:vertAlign w:val="superscript"/>
        </w:rPr>
        <w:t>5</w:t>
      </w:r>
      <w:r w:rsidR="004D2A9C" w:rsidRPr="00244108">
        <w:rPr>
          <w:rFonts w:ascii="Garamond" w:hAnsi="Garamond" w:cs="Times New Roman"/>
          <w:sz w:val="20"/>
          <w:szCs w:val="20"/>
          <w:vertAlign w:val="superscript"/>
        </w:rPr>
        <w:t xml:space="preserve"> </w:t>
      </w:r>
      <w:r w:rsidR="004D2A9C" w:rsidRPr="00244108">
        <w:rPr>
          <w:rFonts w:ascii="Garamond" w:hAnsi="Garamond" w:cs="Times New Roman"/>
          <w:sz w:val="20"/>
          <w:szCs w:val="20"/>
        </w:rPr>
        <w:t xml:space="preserve">In </w:t>
      </w:r>
      <w:r w:rsidR="005924EE" w:rsidRPr="00244108">
        <w:rPr>
          <w:rFonts w:ascii="Garamond" w:hAnsi="Garamond" w:cs="Times New Roman"/>
          <w:sz w:val="20"/>
          <w:szCs w:val="20"/>
        </w:rPr>
        <w:t>2015</w:t>
      </w:r>
      <w:r w:rsidR="004D2A9C" w:rsidRPr="00244108">
        <w:rPr>
          <w:rFonts w:ascii="Garamond" w:hAnsi="Garamond" w:cs="Times New Roman"/>
          <w:sz w:val="20"/>
          <w:szCs w:val="20"/>
        </w:rPr>
        <w:t xml:space="preserve">, </w:t>
      </w:r>
      <w:r w:rsidR="005924EE" w:rsidRPr="00244108">
        <w:rPr>
          <w:rFonts w:ascii="Garamond" w:hAnsi="Garamond" w:cs="Times New Roman"/>
          <w:sz w:val="20"/>
          <w:szCs w:val="20"/>
        </w:rPr>
        <w:t xml:space="preserve">prescription and illicit </w:t>
      </w:r>
      <w:r w:rsidR="004D2A9C" w:rsidRPr="00244108">
        <w:rPr>
          <w:rFonts w:ascii="Garamond" w:hAnsi="Garamond" w:cs="Times New Roman"/>
          <w:sz w:val="20"/>
          <w:szCs w:val="20"/>
        </w:rPr>
        <w:t xml:space="preserve">opioids killed </w:t>
      </w:r>
      <w:r w:rsidR="005924EE" w:rsidRPr="00244108">
        <w:rPr>
          <w:rFonts w:ascii="Garamond" w:hAnsi="Garamond" w:cs="Times New Roman"/>
          <w:sz w:val="20"/>
          <w:szCs w:val="20"/>
        </w:rPr>
        <w:t xml:space="preserve">33,091 </w:t>
      </w:r>
      <w:r w:rsidR="004D2A9C" w:rsidRPr="00244108">
        <w:rPr>
          <w:rFonts w:ascii="Garamond" w:hAnsi="Garamond" w:cs="Times New Roman"/>
          <w:sz w:val="20"/>
          <w:szCs w:val="20"/>
        </w:rPr>
        <w:t>people in the U.S.</w:t>
      </w:r>
      <w:r w:rsidR="00753A65" w:rsidRPr="00244108">
        <w:rPr>
          <w:rFonts w:ascii="Garamond" w:hAnsi="Garamond" w:cs="Times New Roman"/>
          <w:sz w:val="20"/>
          <w:szCs w:val="20"/>
        </w:rPr>
        <w:t xml:space="preserve">, </w:t>
      </w:r>
      <w:r w:rsidR="005924EE" w:rsidRPr="00244108">
        <w:rPr>
          <w:rFonts w:ascii="Garamond" w:hAnsi="Garamond" w:cs="Times New Roman"/>
          <w:sz w:val="20"/>
          <w:szCs w:val="20"/>
        </w:rPr>
        <w:t>an increase of nearly 5,000 deaths from 2014</w:t>
      </w:r>
      <w:r w:rsidR="00753A65" w:rsidRPr="00244108">
        <w:rPr>
          <w:rFonts w:ascii="Garamond" w:hAnsi="Garamond" w:cs="Times New Roman"/>
          <w:sz w:val="20"/>
          <w:szCs w:val="20"/>
        </w:rPr>
        <w:t>.</w:t>
      </w:r>
      <w:r w:rsidR="00F42D1B" w:rsidRPr="00244108">
        <w:rPr>
          <w:rFonts w:ascii="Garamond" w:hAnsi="Garamond" w:cs="Times New Roman"/>
          <w:sz w:val="20"/>
          <w:szCs w:val="20"/>
          <w:vertAlign w:val="superscript"/>
        </w:rPr>
        <w:t>5</w:t>
      </w:r>
    </w:p>
    <w:p w14:paraId="5BFE9AC3" w14:textId="77777777" w:rsidR="0014717A" w:rsidRPr="00244108" w:rsidRDefault="008A6745" w:rsidP="00B5435A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  <w:r w:rsidRPr="00244108">
        <w:rPr>
          <w:rFonts w:ascii="Garamond" w:hAnsi="Garamond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E032E" wp14:editId="61D22357">
                <wp:simplePos x="0" y="0"/>
                <wp:positionH relativeFrom="column">
                  <wp:posOffset>4509770</wp:posOffset>
                </wp:positionH>
                <wp:positionV relativeFrom="paragraph">
                  <wp:posOffset>106045</wp:posOffset>
                </wp:positionV>
                <wp:extent cx="2461260" cy="4359275"/>
                <wp:effectExtent l="0" t="0" r="15240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435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1D469" w14:textId="77777777" w:rsidR="00AD1FEE" w:rsidRPr="00AF30E7" w:rsidRDefault="00AD1FEE" w:rsidP="00AD1FEE">
                            <w:pPr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F30E7">
                              <w:rPr>
                                <w:rFonts w:ascii="Garamond" w:hAnsi="Garamond"/>
                                <w:b/>
                                <w:i/>
                                <w:sz w:val="19"/>
                                <w:szCs w:val="19"/>
                                <w:lang w:bidi="en-US"/>
                              </w:rPr>
                              <w:t xml:space="preserve">Evidence-Based Practices: </w:t>
                            </w:r>
                          </w:p>
                          <w:p w14:paraId="490EBFE1" w14:textId="77777777" w:rsidR="00AD1FEE" w:rsidRPr="00AF30E7" w:rsidRDefault="00AD1FEE" w:rsidP="00AD1FEE">
                            <w:pPr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According to 2014 State reports on the SAPT Block Grant, approximately 71</w:t>
                            </w:r>
                            <w:r w:rsidR="00987B22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% </w:t>
                            </w: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of SAPT Block Grant prevention set-aside funds were spent on evidence-based practices.  </w:t>
                            </w:r>
                          </w:p>
                          <w:p w14:paraId="55E3F0D4" w14:textId="77777777" w:rsidR="00033852" w:rsidRPr="00AF30E7" w:rsidRDefault="00033852" w:rsidP="00033852">
                            <w:pPr>
                              <w:rPr>
                                <w:rFonts w:ascii="Garamond" w:hAnsi="Garamond"/>
                                <w:sz w:val="10"/>
                                <w:szCs w:val="19"/>
                              </w:rPr>
                            </w:pPr>
                          </w:p>
                          <w:p w14:paraId="249AE9E8" w14:textId="77777777" w:rsidR="008A6745" w:rsidRPr="00AF30E7" w:rsidRDefault="008A6745" w:rsidP="00B11AA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F30E7">
                              <w:rPr>
                                <w:rFonts w:ascii="Garamond" w:hAnsi="Garamond"/>
                                <w:b/>
                                <w:i/>
                                <w:sz w:val="19"/>
                                <w:szCs w:val="19"/>
                                <w:lang w:bidi="en-US"/>
                              </w:rPr>
                              <w:t>Cost Savings:</w:t>
                            </w:r>
                          </w:p>
                          <w:p w14:paraId="660C2A8B" w14:textId="77777777" w:rsidR="008A6745" w:rsidRPr="00AF30E7" w:rsidRDefault="008A6745" w:rsidP="00ED31F8">
                            <w:pPr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Evidence-based prevention strategies have returns on investment of up to $</w:t>
                            </w:r>
                            <w:r w:rsidR="0071788F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18</w:t>
                            </w: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:1</w:t>
                            </w:r>
                            <w:r w:rsidR="00ED31F8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(that is, saving $</w:t>
                            </w:r>
                            <w:r w:rsidR="0071788F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18</w:t>
                            </w:r>
                            <w:r w:rsidR="00ED31F8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for every $1 invested in prevention)</w:t>
                            </w: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. </w:t>
                            </w:r>
                            <w:r w:rsidR="00ED31F8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Cost savings come from reduced medical costs, </w:t>
                            </w: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increased productivity</w:t>
                            </w:r>
                            <w:r w:rsidR="00ED31F8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in work and school</w:t>
                            </w: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, </w:t>
                            </w:r>
                            <w:r w:rsidR="00ED31F8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reduced crime, and generally better quality of life.</w:t>
                            </w:r>
                            <w:r w:rsidR="009A03CA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vertAlign w:val="superscript"/>
                                <w:lang w:bidi="en-US"/>
                              </w:rPr>
                              <w:t>7,8</w:t>
                            </w:r>
                            <w:r w:rsidR="00ED31F8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</w:t>
                            </w:r>
                          </w:p>
                          <w:p w14:paraId="7BC8F859" w14:textId="77777777" w:rsidR="008A6745" w:rsidRPr="00AF30E7" w:rsidRDefault="008A6745" w:rsidP="008A6745">
                            <w:pPr>
                              <w:rPr>
                                <w:rFonts w:ascii="Garamond" w:hAnsi="Garamond"/>
                                <w:i/>
                                <w:sz w:val="10"/>
                                <w:szCs w:val="19"/>
                                <w:lang w:bidi="en-US"/>
                              </w:rPr>
                            </w:pPr>
                          </w:p>
                          <w:p w14:paraId="67EC7713" w14:textId="77777777" w:rsidR="005523E6" w:rsidRPr="00AF30E7" w:rsidRDefault="00B11AAC" w:rsidP="00B11AA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F30E7">
                              <w:rPr>
                                <w:rFonts w:ascii="Garamond" w:hAnsi="Garamond"/>
                                <w:b/>
                                <w:i/>
                                <w:sz w:val="19"/>
                                <w:szCs w:val="19"/>
                                <w:lang w:bidi="en-US"/>
                              </w:rPr>
                              <w:t>Positive Outcomes:</w:t>
                            </w:r>
                          </w:p>
                          <w:p w14:paraId="75A100C5" w14:textId="77777777" w:rsidR="005523E6" w:rsidRPr="00AF30E7" w:rsidRDefault="00583900" w:rsidP="00B11AAC">
                            <w:pPr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</w:pP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According to </w:t>
                            </w:r>
                            <w:r w:rsidR="00BE09C3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the National Survey on Drug Use and Health</w:t>
                            </w:r>
                            <w:r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, f</w:t>
                            </w:r>
                            <w:r w:rsidR="005523E6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rom 2010-201</w:t>
                            </w:r>
                            <w:r w:rsidR="00F42D1B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5</w:t>
                            </w:r>
                            <w:r w:rsidR="005523E6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, past month use rates for adolescents aged 12-17 declined for alcohol</w:t>
                            </w:r>
                            <w:r w:rsidR="00987B22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(</w:t>
                            </w:r>
                            <w:r w:rsidR="00C01B2D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29</w:t>
                            </w:r>
                            <w:r w:rsidR="00987B22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% decline)</w:t>
                            </w:r>
                            <w:r w:rsidR="005523E6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, cigarettes</w:t>
                            </w:r>
                            <w:r w:rsidR="00987B22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(</w:t>
                            </w:r>
                            <w:r w:rsidR="00C01B2D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50</w:t>
                            </w:r>
                            <w:r w:rsidR="00987B22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% decline)</w:t>
                            </w:r>
                            <w:r w:rsidR="005523E6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, and </w:t>
                            </w:r>
                            <w:r w:rsidR="00BE09C3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pain relievers</w:t>
                            </w:r>
                            <w:r w:rsidR="005523E6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(</w:t>
                            </w:r>
                            <w:r w:rsidR="00C01B2D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56</w:t>
                            </w:r>
                            <w:r w:rsidR="00BE09C3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% decline)</w:t>
                            </w:r>
                            <w:r w:rsidR="00C01B2D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. </w:t>
                            </w:r>
                            <w:r w:rsidR="005523E6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More work remains to reduce youth marijuana use</w:t>
                            </w:r>
                            <w:r w:rsidR="00987B22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which has </w:t>
                            </w:r>
                            <w:r w:rsidR="00C01B2D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>remained at approximately 7%</w:t>
                            </w:r>
                            <w:r w:rsidR="00BE09C3" w:rsidRPr="00AF30E7">
                              <w:rPr>
                                <w:rFonts w:ascii="Garamond" w:hAnsi="Garamond"/>
                                <w:sz w:val="19"/>
                                <w:szCs w:val="19"/>
                                <w:lang w:bidi="en-US"/>
                              </w:rPr>
                              <w:t xml:space="preserve"> in recent years.</w:t>
                            </w:r>
                          </w:p>
                          <w:p w14:paraId="3CA782D9" w14:textId="77777777" w:rsidR="005523E6" w:rsidRPr="00AF30E7" w:rsidRDefault="005523E6" w:rsidP="00B11AAC">
                            <w:pPr>
                              <w:rPr>
                                <w:rFonts w:asciiTheme="majorHAnsi" w:hAnsiTheme="majorHAnsi"/>
                                <w:sz w:val="10"/>
                                <w:szCs w:val="20"/>
                                <w:lang w:bidi="en-US"/>
                              </w:rPr>
                            </w:pPr>
                          </w:p>
                          <w:p w14:paraId="01538D49" w14:textId="77777777" w:rsidR="00B11AAC" w:rsidRPr="00244108" w:rsidRDefault="005523E6" w:rsidP="00B11AA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bidi="en-US"/>
                              </w:rPr>
                              <w:t>Trends in Past Month Use:</w:t>
                            </w:r>
                            <w:r w:rsidR="00B11AAC" w:rsidRPr="0024410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LightList-Accent5"/>
                              <w:tblW w:w="340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709"/>
                              <w:gridCol w:w="672"/>
                              <w:gridCol w:w="850"/>
                            </w:tblGrid>
                            <w:tr w:rsidR="005523E6" w:rsidRPr="00244108" w14:paraId="34B0FF84" w14:textId="77777777" w:rsidTr="0024410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6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71" w:type="dxa"/>
                                </w:tcPr>
                                <w:p w14:paraId="7D5FE3CF" w14:textId="77777777" w:rsidR="005523E6" w:rsidRPr="00244108" w:rsidRDefault="005523E6" w:rsidP="00987B22">
                                  <w:pPr>
                                    <w:jc w:val="center"/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Substance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2B3888A" w14:textId="77777777" w:rsidR="005523E6" w:rsidRPr="00244108" w:rsidRDefault="005523E6" w:rsidP="005523E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2010 (%)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1C8A03C1" w14:textId="77777777" w:rsidR="005523E6" w:rsidRPr="00244108" w:rsidRDefault="005523E6" w:rsidP="00F42D1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201</w:t>
                                  </w:r>
                                  <w:r w:rsidR="00F42D1B"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5</w:t>
                                  </w: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 (%)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BED2FC" w14:textId="77777777" w:rsidR="005523E6" w:rsidRPr="00244108" w:rsidRDefault="005523E6" w:rsidP="005523E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Change (%)</w:t>
                                  </w:r>
                                </w:p>
                              </w:tc>
                            </w:tr>
                            <w:tr w:rsidR="005523E6" w:rsidRPr="00244108" w14:paraId="0E99DEE8" w14:textId="77777777" w:rsidTr="002441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71" w:type="dxa"/>
                                </w:tcPr>
                                <w:p w14:paraId="05472913" w14:textId="77777777" w:rsidR="005523E6" w:rsidRPr="00244108" w:rsidRDefault="005523E6" w:rsidP="005523E6">
                                  <w:pPr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5FF6145" w14:textId="77777777" w:rsidR="005523E6" w:rsidRPr="00244108" w:rsidRDefault="00BE09C3" w:rsidP="00FE76D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vertAlign w:val="superscript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13.6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14363B8" w14:textId="77777777" w:rsidR="005523E6" w:rsidRPr="00244108" w:rsidRDefault="00F42D1B" w:rsidP="00FE76D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155408B" w14:textId="77777777" w:rsidR="005523E6" w:rsidRPr="00244108" w:rsidRDefault="00BE09C3" w:rsidP="00C01B2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-</w:t>
                                  </w:r>
                                  <w:r w:rsidR="00C01B2D"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29</w:t>
                                  </w: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.4</w:t>
                                  </w:r>
                                </w:p>
                              </w:tc>
                            </w:tr>
                            <w:tr w:rsidR="005523E6" w:rsidRPr="00244108" w14:paraId="2FA343FC" w14:textId="77777777" w:rsidTr="00244108">
                              <w:trPr>
                                <w:trHeight w:val="13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71" w:type="dxa"/>
                                </w:tcPr>
                                <w:p w14:paraId="4009110F" w14:textId="77777777" w:rsidR="005523E6" w:rsidRPr="00244108" w:rsidRDefault="005523E6" w:rsidP="005523E6">
                                  <w:pPr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Cigarettes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6E03312" w14:textId="77777777" w:rsidR="005523E6" w:rsidRPr="00244108" w:rsidRDefault="00BE09C3" w:rsidP="00FE76D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8.4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521407C3" w14:textId="77777777" w:rsidR="005523E6" w:rsidRPr="00244108" w:rsidRDefault="00BE09C3" w:rsidP="00F42D1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4.</w:t>
                                  </w:r>
                                  <w:r w:rsidR="00F42D1B"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57AB5F4" w14:textId="77777777" w:rsidR="005523E6" w:rsidRPr="00244108" w:rsidRDefault="005523E6" w:rsidP="00C01B2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-</w:t>
                                  </w:r>
                                  <w:r w:rsidR="00C01B2D"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50.0</w:t>
                                  </w:r>
                                </w:p>
                              </w:tc>
                            </w:tr>
                            <w:tr w:rsidR="005523E6" w:rsidRPr="00244108" w14:paraId="0E930049" w14:textId="77777777" w:rsidTr="002441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71" w:type="dxa"/>
                                </w:tcPr>
                                <w:p w14:paraId="2573D511" w14:textId="77777777" w:rsidR="005523E6" w:rsidRPr="00244108" w:rsidRDefault="00BE09C3" w:rsidP="005523E6">
                                  <w:pPr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Pain Relievers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7C1C1B1" w14:textId="77777777" w:rsidR="005523E6" w:rsidRPr="00244108" w:rsidRDefault="00BE09C3" w:rsidP="00FE76D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F309F4F" w14:textId="77777777" w:rsidR="005523E6" w:rsidRPr="00244108" w:rsidRDefault="00BE09C3" w:rsidP="00F42D1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1.</w:t>
                                  </w:r>
                                  <w:r w:rsidR="00F42D1B"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75C64C7" w14:textId="77777777" w:rsidR="005523E6" w:rsidRPr="00244108" w:rsidRDefault="00BE09C3" w:rsidP="00C01B2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-</w:t>
                                  </w:r>
                                  <w:r w:rsidR="00C01B2D"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56.0</w:t>
                                  </w:r>
                                </w:p>
                              </w:tc>
                            </w:tr>
                            <w:tr w:rsidR="005523E6" w:rsidRPr="00244108" w14:paraId="197A520A" w14:textId="77777777" w:rsidTr="00244108">
                              <w:trPr>
                                <w:trHeight w:val="146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71" w:type="dxa"/>
                                </w:tcPr>
                                <w:p w14:paraId="387EA9C4" w14:textId="77777777" w:rsidR="005523E6" w:rsidRPr="00244108" w:rsidRDefault="005523E6" w:rsidP="005523E6">
                                  <w:pPr>
                                    <w:rPr>
                                      <w:rFonts w:ascii="Garamond" w:hAnsi="Garamond"/>
                                      <w:b w:val="0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  <w:lang w:bidi="en-US"/>
                                    </w:rPr>
                                    <w:t>Marijuana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E439559" w14:textId="77777777" w:rsidR="005523E6" w:rsidRPr="00244108" w:rsidRDefault="00BE09C3" w:rsidP="00FE76D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31C56CAC" w14:textId="77777777" w:rsidR="005523E6" w:rsidRPr="00244108" w:rsidRDefault="00BE09C3" w:rsidP="00F42D1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7.</w:t>
                                  </w:r>
                                  <w:r w:rsidR="00F42D1B"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DE6C757" w14:textId="77777777" w:rsidR="005523E6" w:rsidRPr="00244108" w:rsidRDefault="00C01B2D" w:rsidP="00FE76D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</w:pPr>
                                  <w:r w:rsidRPr="00244108">
                                    <w:rPr>
                                      <w:rFonts w:ascii="Garamond" w:hAnsi="Garamond"/>
                                      <w:sz w:val="16"/>
                                      <w:szCs w:val="18"/>
                                      <w:lang w:bidi="en-US"/>
                                    </w:rPr>
                                    <w:t>-5.4</w:t>
                                  </w:r>
                                </w:p>
                              </w:tc>
                            </w:tr>
                          </w:tbl>
                          <w:p w14:paraId="04A9FFCF" w14:textId="77777777" w:rsidR="005523E6" w:rsidRPr="005523E6" w:rsidRDefault="005523E6" w:rsidP="00B11AA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08C76831" w14:textId="77777777" w:rsidR="00033852" w:rsidRPr="00B11AAC" w:rsidRDefault="00033852" w:rsidP="0003385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4F4D7EC" w14:textId="77777777" w:rsidR="00033852" w:rsidRPr="005A7895" w:rsidRDefault="00033852" w:rsidP="00033852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032E" id="Text Box 4" o:spid="_x0000_s1028" type="#_x0000_t202" style="position:absolute;margin-left:355.1pt;margin-top:8.35pt;width:193.8pt;height:3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" fillcolor="#dfebf5 [660]" strokecolor="#5aa2ae [3208]" strokeweight="1pt">
                <v:textbox>
                  <w:txbxContent>
                    <w:p w14:paraId="6A11D469" w14:textId="77777777" w:rsidR="00AD1FEE" w:rsidRPr="00AF30E7" w:rsidRDefault="00AD1FEE" w:rsidP="00AD1FEE">
                      <w:pPr>
                        <w:rPr>
                          <w:rFonts w:ascii="Garamond" w:hAnsi="Garamond"/>
                          <w:i/>
                          <w:sz w:val="19"/>
                          <w:szCs w:val="19"/>
                          <w:lang w:bidi="en-US"/>
                        </w:rPr>
                      </w:pPr>
                      <w:r w:rsidRPr="00AF30E7">
                        <w:rPr>
                          <w:rFonts w:ascii="Garamond" w:hAnsi="Garamond"/>
                          <w:b/>
                          <w:i/>
                          <w:sz w:val="19"/>
                          <w:szCs w:val="19"/>
                          <w:lang w:bidi="en-US"/>
                        </w:rPr>
                        <w:t xml:space="preserve">Evidence-Based Practices: </w:t>
                      </w:r>
                    </w:p>
                    <w:p w14:paraId="490EBFE1" w14:textId="77777777" w:rsidR="00AD1FEE" w:rsidRPr="00AF30E7" w:rsidRDefault="00AD1FEE" w:rsidP="00AD1FEE">
                      <w:pPr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</w:pP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According to 2014 State reports on the SAPT Block Grant, approximately 71</w:t>
                      </w:r>
                      <w:r w:rsidR="00987B22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% </w:t>
                      </w: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of SAPT Block Grant prevention set-aside funds were spent on evidence-based practices.  </w:t>
                      </w:r>
                    </w:p>
                    <w:p w14:paraId="55E3F0D4" w14:textId="77777777" w:rsidR="00033852" w:rsidRPr="00AF30E7" w:rsidRDefault="00033852" w:rsidP="00033852">
                      <w:pPr>
                        <w:rPr>
                          <w:rFonts w:ascii="Garamond" w:hAnsi="Garamond"/>
                          <w:sz w:val="10"/>
                          <w:szCs w:val="19"/>
                        </w:rPr>
                      </w:pPr>
                    </w:p>
                    <w:p w14:paraId="249AE9E8" w14:textId="77777777" w:rsidR="008A6745" w:rsidRPr="00AF30E7" w:rsidRDefault="008A6745" w:rsidP="00B11AAC">
                      <w:pPr>
                        <w:rPr>
                          <w:rFonts w:ascii="Garamond" w:hAnsi="Garamond"/>
                          <w:b/>
                          <w:i/>
                          <w:sz w:val="19"/>
                          <w:szCs w:val="19"/>
                          <w:lang w:bidi="en-US"/>
                        </w:rPr>
                      </w:pPr>
                      <w:r w:rsidRPr="00AF30E7">
                        <w:rPr>
                          <w:rFonts w:ascii="Garamond" w:hAnsi="Garamond"/>
                          <w:b/>
                          <w:i/>
                          <w:sz w:val="19"/>
                          <w:szCs w:val="19"/>
                          <w:lang w:bidi="en-US"/>
                        </w:rPr>
                        <w:t>Cost Savings:</w:t>
                      </w:r>
                    </w:p>
                    <w:p w14:paraId="660C2A8B" w14:textId="77777777" w:rsidR="008A6745" w:rsidRPr="00AF30E7" w:rsidRDefault="008A6745" w:rsidP="00ED31F8">
                      <w:pPr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</w:pP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Evidence-based prevention strategies have returns on investment of up to $</w:t>
                      </w:r>
                      <w:r w:rsidR="0071788F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18</w:t>
                      </w: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:1</w:t>
                      </w:r>
                      <w:r w:rsidR="00ED31F8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(that is, saving $</w:t>
                      </w:r>
                      <w:r w:rsidR="0071788F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18</w:t>
                      </w:r>
                      <w:r w:rsidR="00ED31F8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for every $1 invested in prevention)</w:t>
                      </w: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. </w:t>
                      </w:r>
                      <w:r w:rsidR="00ED31F8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Cost savings come from reduced medical costs, </w:t>
                      </w: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increased productivity</w:t>
                      </w:r>
                      <w:r w:rsidR="00ED31F8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in work and school</w:t>
                      </w: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, </w:t>
                      </w:r>
                      <w:r w:rsidR="00ED31F8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reduced crime, and generally better quality of life.</w:t>
                      </w:r>
                      <w:r w:rsidR="009A03CA" w:rsidRPr="00AF30E7">
                        <w:rPr>
                          <w:rFonts w:ascii="Garamond" w:hAnsi="Garamond"/>
                          <w:sz w:val="19"/>
                          <w:szCs w:val="19"/>
                          <w:vertAlign w:val="superscript"/>
                          <w:lang w:bidi="en-US"/>
                        </w:rPr>
                        <w:t>7,8</w:t>
                      </w:r>
                      <w:r w:rsidR="00ED31F8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</w:t>
                      </w:r>
                    </w:p>
                    <w:p w14:paraId="7BC8F859" w14:textId="77777777" w:rsidR="008A6745" w:rsidRPr="00AF30E7" w:rsidRDefault="008A6745" w:rsidP="008A6745">
                      <w:pPr>
                        <w:rPr>
                          <w:rFonts w:ascii="Garamond" w:hAnsi="Garamond"/>
                          <w:i/>
                          <w:sz w:val="10"/>
                          <w:szCs w:val="19"/>
                          <w:lang w:bidi="en-US"/>
                        </w:rPr>
                      </w:pPr>
                    </w:p>
                    <w:p w14:paraId="67EC7713" w14:textId="77777777" w:rsidR="005523E6" w:rsidRPr="00AF30E7" w:rsidRDefault="00B11AAC" w:rsidP="00B11AAC">
                      <w:pPr>
                        <w:rPr>
                          <w:rFonts w:ascii="Garamond" w:hAnsi="Garamond"/>
                          <w:b/>
                          <w:i/>
                          <w:sz w:val="19"/>
                          <w:szCs w:val="19"/>
                          <w:lang w:bidi="en-US"/>
                        </w:rPr>
                      </w:pPr>
                      <w:r w:rsidRPr="00AF30E7">
                        <w:rPr>
                          <w:rFonts w:ascii="Garamond" w:hAnsi="Garamond"/>
                          <w:b/>
                          <w:i/>
                          <w:sz w:val="19"/>
                          <w:szCs w:val="19"/>
                          <w:lang w:bidi="en-US"/>
                        </w:rPr>
                        <w:t>Positive Outcomes:</w:t>
                      </w:r>
                    </w:p>
                    <w:p w14:paraId="75A100C5" w14:textId="77777777" w:rsidR="005523E6" w:rsidRPr="00AF30E7" w:rsidRDefault="00583900" w:rsidP="00B11AAC">
                      <w:pPr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</w:pP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According to </w:t>
                      </w:r>
                      <w:r w:rsidR="00BE09C3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the National Survey on Drug Use and Health</w:t>
                      </w:r>
                      <w:r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, f</w:t>
                      </w:r>
                      <w:r w:rsidR="005523E6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rom 2010-201</w:t>
                      </w:r>
                      <w:r w:rsidR="00F42D1B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5</w:t>
                      </w:r>
                      <w:r w:rsidR="005523E6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, past month use rates for adolescents aged 12-17 declined for alcohol</w:t>
                      </w:r>
                      <w:r w:rsidR="00987B22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(</w:t>
                      </w:r>
                      <w:r w:rsidR="00C01B2D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29</w:t>
                      </w:r>
                      <w:r w:rsidR="00987B22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% decline)</w:t>
                      </w:r>
                      <w:r w:rsidR="005523E6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, cigarettes</w:t>
                      </w:r>
                      <w:r w:rsidR="00987B22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(</w:t>
                      </w:r>
                      <w:r w:rsidR="00C01B2D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50</w:t>
                      </w:r>
                      <w:r w:rsidR="00987B22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% decline)</w:t>
                      </w:r>
                      <w:r w:rsidR="005523E6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, and </w:t>
                      </w:r>
                      <w:r w:rsidR="00BE09C3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pain relievers</w:t>
                      </w:r>
                      <w:r w:rsidR="005523E6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(</w:t>
                      </w:r>
                      <w:r w:rsidR="00C01B2D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56</w:t>
                      </w:r>
                      <w:r w:rsidR="00BE09C3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% decline)</w:t>
                      </w:r>
                      <w:r w:rsidR="00C01B2D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. </w:t>
                      </w:r>
                      <w:r w:rsidR="005523E6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More work remains to reduce youth marijuana use</w:t>
                      </w:r>
                      <w:r w:rsidR="00987B22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which has </w:t>
                      </w:r>
                      <w:r w:rsidR="00C01B2D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>remained at approximately 7%</w:t>
                      </w:r>
                      <w:r w:rsidR="00BE09C3" w:rsidRPr="00AF30E7">
                        <w:rPr>
                          <w:rFonts w:ascii="Garamond" w:hAnsi="Garamond"/>
                          <w:sz w:val="19"/>
                          <w:szCs w:val="19"/>
                          <w:lang w:bidi="en-US"/>
                        </w:rPr>
                        <w:t xml:space="preserve"> in recent years.</w:t>
                      </w:r>
                    </w:p>
                    <w:p w14:paraId="3CA782D9" w14:textId="77777777" w:rsidR="005523E6" w:rsidRPr="00AF30E7" w:rsidRDefault="005523E6" w:rsidP="00B11AAC">
                      <w:pPr>
                        <w:rPr>
                          <w:rFonts w:asciiTheme="majorHAnsi" w:hAnsiTheme="majorHAnsi"/>
                          <w:sz w:val="10"/>
                          <w:szCs w:val="20"/>
                          <w:lang w:bidi="en-US"/>
                        </w:rPr>
                      </w:pPr>
                    </w:p>
                    <w:p w14:paraId="01538D49" w14:textId="77777777" w:rsidR="00B11AAC" w:rsidRPr="00244108" w:rsidRDefault="005523E6" w:rsidP="00B11AAC">
                      <w:pP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  <w:lang w:bidi="en-US"/>
                        </w:rPr>
                      </w:pPr>
                      <w:r w:rsidRPr="00244108">
                        <w:rPr>
                          <w:rFonts w:ascii="Garamond" w:hAnsi="Garamond"/>
                          <w:b/>
                          <w:sz w:val="20"/>
                          <w:szCs w:val="20"/>
                          <w:lang w:bidi="en-US"/>
                        </w:rPr>
                        <w:t>Trends in Past Month Use:</w:t>
                      </w:r>
                      <w:r w:rsidR="00B11AAC" w:rsidRPr="0024410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</w:p>
                    <w:tbl>
                      <w:tblPr>
                        <w:tblStyle w:val="LightList-Accent5"/>
                        <w:tblW w:w="340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709"/>
                        <w:gridCol w:w="672"/>
                        <w:gridCol w:w="850"/>
                      </w:tblGrid>
                      <w:tr w:rsidR="005523E6" w:rsidRPr="00244108" w14:paraId="34B0FF84" w14:textId="77777777" w:rsidTr="0024410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6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71" w:type="dxa"/>
                          </w:tcPr>
                          <w:p w14:paraId="7D5FE3CF" w14:textId="77777777" w:rsidR="005523E6" w:rsidRPr="00244108" w:rsidRDefault="005523E6" w:rsidP="00987B22">
                            <w:pPr>
                              <w:jc w:val="center"/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Substance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2B3888A" w14:textId="77777777" w:rsidR="005523E6" w:rsidRPr="00244108" w:rsidRDefault="005523E6" w:rsidP="005523E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2010 (%)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1C8A03C1" w14:textId="77777777" w:rsidR="005523E6" w:rsidRPr="00244108" w:rsidRDefault="005523E6" w:rsidP="00F42D1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201</w:t>
                            </w:r>
                            <w:r w:rsidR="00F42D1B"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5</w:t>
                            </w: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 xml:space="preserve"> (%)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5BED2FC" w14:textId="77777777" w:rsidR="005523E6" w:rsidRPr="00244108" w:rsidRDefault="005523E6" w:rsidP="005523E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Change (%)</w:t>
                            </w:r>
                          </w:p>
                        </w:tc>
                      </w:tr>
                      <w:tr w:rsidR="005523E6" w:rsidRPr="00244108" w14:paraId="0E99DEE8" w14:textId="77777777" w:rsidTr="002441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71" w:type="dxa"/>
                          </w:tcPr>
                          <w:p w14:paraId="05472913" w14:textId="77777777" w:rsidR="005523E6" w:rsidRPr="00244108" w:rsidRDefault="005523E6" w:rsidP="005523E6">
                            <w:pPr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5FF6145" w14:textId="77777777" w:rsidR="005523E6" w:rsidRPr="00244108" w:rsidRDefault="00BE09C3" w:rsidP="00FE76D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vertAlign w:val="superscript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13.6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14363B8" w14:textId="77777777" w:rsidR="005523E6" w:rsidRPr="00244108" w:rsidRDefault="00F42D1B" w:rsidP="00FE76D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9.6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155408B" w14:textId="77777777" w:rsidR="005523E6" w:rsidRPr="00244108" w:rsidRDefault="00BE09C3" w:rsidP="00C01B2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-</w:t>
                            </w:r>
                            <w:r w:rsidR="00C01B2D"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29</w:t>
                            </w: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.4</w:t>
                            </w:r>
                          </w:p>
                        </w:tc>
                      </w:tr>
                      <w:tr w:rsidR="005523E6" w:rsidRPr="00244108" w14:paraId="2FA343FC" w14:textId="77777777" w:rsidTr="00244108">
                        <w:trPr>
                          <w:trHeight w:val="13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71" w:type="dxa"/>
                          </w:tcPr>
                          <w:p w14:paraId="4009110F" w14:textId="77777777" w:rsidR="005523E6" w:rsidRPr="00244108" w:rsidRDefault="005523E6" w:rsidP="005523E6">
                            <w:pPr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Cigarettes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6E03312" w14:textId="77777777" w:rsidR="005523E6" w:rsidRPr="00244108" w:rsidRDefault="00BE09C3" w:rsidP="00FE76D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8.4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521407C3" w14:textId="77777777" w:rsidR="005523E6" w:rsidRPr="00244108" w:rsidRDefault="00BE09C3" w:rsidP="00F42D1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4.</w:t>
                            </w:r>
                            <w:r w:rsidR="00F42D1B"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57AB5F4" w14:textId="77777777" w:rsidR="005523E6" w:rsidRPr="00244108" w:rsidRDefault="005523E6" w:rsidP="00C01B2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-</w:t>
                            </w:r>
                            <w:r w:rsidR="00C01B2D"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50.0</w:t>
                            </w:r>
                          </w:p>
                        </w:tc>
                      </w:tr>
                      <w:tr w:rsidR="005523E6" w:rsidRPr="00244108" w14:paraId="0E930049" w14:textId="77777777" w:rsidTr="002441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71" w:type="dxa"/>
                          </w:tcPr>
                          <w:p w14:paraId="2573D511" w14:textId="77777777" w:rsidR="005523E6" w:rsidRPr="00244108" w:rsidRDefault="00BE09C3" w:rsidP="005523E6">
                            <w:pPr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Pain Relievers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7C1C1B1" w14:textId="77777777" w:rsidR="005523E6" w:rsidRPr="00244108" w:rsidRDefault="00BE09C3" w:rsidP="00FE76D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F309F4F" w14:textId="77777777" w:rsidR="005523E6" w:rsidRPr="00244108" w:rsidRDefault="00BE09C3" w:rsidP="00F42D1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1.</w:t>
                            </w:r>
                            <w:r w:rsidR="00F42D1B"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75C64C7" w14:textId="77777777" w:rsidR="005523E6" w:rsidRPr="00244108" w:rsidRDefault="00BE09C3" w:rsidP="00C01B2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-</w:t>
                            </w:r>
                            <w:r w:rsidR="00C01B2D"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56.0</w:t>
                            </w:r>
                          </w:p>
                        </w:tc>
                      </w:tr>
                      <w:tr w:rsidR="005523E6" w:rsidRPr="00244108" w14:paraId="197A520A" w14:textId="77777777" w:rsidTr="00244108">
                        <w:trPr>
                          <w:trHeight w:val="146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71" w:type="dxa"/>
                          </w:tcPr>
                          <w:p w14:paraId="387EA9C4" w14:textId="77777777" w:rsidR="005523E6" w:rsidRPr="00244108" w:rsidRDefault="005523E6" w:rsidP="005523E6">
                            <w:pPr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6"/>
                                <w:lang w:bidi="en-US"/>
                              </w:rPr>
                              <w:t>Marijuana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E439559" w14:textId="77777777" w:rsidR="005523E6" w:rsidRPr="00244108" w:rsidRDefault="00BE09C3" w:rsidP="00FE76D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31C56CAC" w14:textId="77777777" w:rsidR="005523E6" w:rsidRPr="00244108" w:rsidRDefault="00BE09C3" w:rsidP="00F42D1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7.</w:t>
                            </w:r>
                            <w:r w:rsidR="00F42D1B"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DE6C757" w14:textId="77777777" w:rsidR="005523E6" w:rsidRPr="00244108" w:rsidRDefault="00C01B2D" w:rsidP="00FE76D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6"/>
                                <w:szCs w:val="18"/>
                                <w:lang w:bidi="en-US"/>
                              </w:rPr>
                              <w:t>-5.4</w:t>
                            </w:r>
                          </w:p>
                        </w:tc>
                      </w:tr>
                    </w:tbl>
                    <w:p w14:paraId="04A9FFCF" w14:textId="77777777" w:rsidR="005523E6" w:rsidRPr="005523E6" w:rsidRDefault="005523E6" w:rsidP="00B11AAC">
                      <w:pPr>
                        <w:rPr>
                          <w:rFonts w:asciiTheme="majorHAnsi" w:hAnsiTheme="majorHAnsi"/>
                          <w:sz w:val="18"/>
                          <w:szCs w:val="18"/>
                          <w:lang w:bidi="en-US"/>
                        </w:rPr>
                      </w:pPr>
                    </w:p>
                    <w:p w14:paraId="08C76831" w14:textId="77777777" w:rsidR="00033852" w:rsidRPr="00B11AAC" w:rsidRDefault="00033852" w:rsidP="0003385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4F4D7EC" w14:textId="77777777" w:rsidR="00033852" w:rsidRPr="005A7895" w:rsidRDefault="00033852" w:rsidP="00033852">
                      <w:pP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41D68" w14:textId="77777777" w:rsidR="00B5435A" w:rsidRPr="00244108" w:rsidRDefault="00B5435A" w:rsidP="00B5435A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 xml:space="preserve">How SAPT Block Grant Set-Aside Funds </w:t>
      </w:r>
      <w:r w:rsidR="005B5B65"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>A</w:t>
      </w: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>re Used</w:t>
      </w:r>
    </w:p>
    <w:p w14:paraId="5468EE34" w14:textId="050C62DB" w:rsidR="00B5435A" w:rsidRPr="00244108" w:rsidRDefault="00B5435A" w:rsidP="00CE1E15">
      <w:pPr>
        <w:ind w:right="3510"/>
        <w:rPr>
          <w:rFonts w:ascii="Garamond" w:hAnsi="Garamond" w:cs="Times New Roman"/>
          <w:sz w:val="20"/>
          <w:szCs w:val="20"/>
          <w:vertAlign w:val="superscript"/>
        </w:rPr>
      </w:pPr>
      <w:r w:rsidRPr="00244108">
        <w:rPr>
          <w:rFonts w:ascii="Garamond" w:hAnsi="Garamond" w:cs="Times New Roman"/>
          <w:sz w:val="20"/>
          <w:szCs w:val="20"/>
        </w:rPr>
        <w:t>By statute, the SAPT Block Grant prevention set-aside must be spent on primary prevention services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 or services for individuals who have not been identified as needing treatment</w:t>
      </w:r>
      <w:r w:rsidRPr="00244108">
        <w:rPr>
          <w:rFonts w:ascii="Garamond" w:hAnsi="Garamond" w:cs="Times New Roman"/>
          <w:sz w:val="20"/>
          <w:szCs w:val="20"/>
        </w:rPr>
        <w:t xml:space="preserve">. States have the flexibility to 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use data to </w:t>
      </w:r>
      <w:r w:rsidRPr="00244108">
        <w:rPr>
          <w:rFonts w:ascii="Garamond" w:hAnsi="Garamond" w:cs="Times New Roman"/>
          <w:sz w:val="20"/>
          <w:szCs w:val="20"/>
        </w:rPr>
        <w:t xml:space="preserve">decide how to spend funds based on 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their </w:t>
      </w:r>
      <w:r w:rsidRPr="00244108">
        <w:rPr>
          <w:rFonts w:ascii="Garamond" w:hAnsi="Garamond" w:cs="Times New Roman"/>
          <w:sz w:val="20"/>
          <w:szCs w:val="20"/>
        </w:rPr>
        <w:t>local ne</w:t>
      </w:r>
      <w:r w:rsidR="005B5B65" w:rsidRPr="00244108">
        <w:rPr>
          <w:rFonts w:ascii="Garamond" w:hAnsi="Garamond" w:cs="Times New Roman"/>
          <w:sz w:val="20"/>
          <w:szCs w:val="20"/>
        </w:rPr>
        <w:t>eds</w:t>
      </w:r>
      <w:r w:rsidRPr="00244108">
        <w:rPr>
          <w:rFonts w:ascii="Garamond" w:hAnsi="Garamond" w:cs="Times New Roman"/>
          <w:sz w:val="20"/>
          <w:szCs w:val="20"/>
        </w:rPr>
        <w:t xml:space="preserve">. </w:t>
      </w:r>
      <w:r w:rsidR="00054DF6" w:rsidRPr="00244108">
        <w:rPr>
          <w:rFonts w:ascii="Garamond" w:hAnsi="Garamond" w:cs="Times New Roman"/>
          <w:sz w:val="20"/>
          <w:szCs w:val="20"/>
        </w:rPr>
        <w:t xml:space="preserve">The average expenditure percentages </w:t>
      </w:r>
      <w:r w:rsidR="00054DF6">
        <w:rPr>
          <w:rFonts w:ascii="Garamond" w:hAnsi="Garamond" w:cs="Times New Roman"/>
          <w:sz w:val="20"/>
          <w:szCs w:val="20"/>
        </w:rPr>
        <w:t>below</w:t>
      </w:r>
      <w:r w:rsidR="00054DF6" w:rsidRPr="00244108">
        <w:rPr>
          <w:rFonts w:ascii="Garamond" w:hAnsi="Garamond" w:cs="Times New Roman"/>
          <w:sz w:val="20"/>
          <w:szCs w:val="20"/>
        </w:rPr>
        <w:t xml:space="preserve"> reflect the numbers reported by States in 2015.</w:t>
      </w:r>
      <w:r w:rsidR="00054DF6">
        <w:rPr>
          <w:rFonts w:ascii="Garamond" w:hAnsi="Garamond" w:cs="Times New Roman"/>
          <w:sz w:val="20"/>
          <w:szCs w:val="20"/>
        </w:rPr>
        <w:t xml:space="preserve"> </w:t>
      </w:r>
      <w:r w:rsidR="0006665F" w:rsidRPr="00244108">
        <w:rPr>
          <w:rFonts w:ascii="Garamond" w:hAnsi="Garamond" w:cs="Times New Roman"/>
          <w:sz w:val="20"/>
          <w:szCs w:val="20"/>
        </w:rPr>
        <w:t>C</w:t>
      </w:r>
      <w:r w:rsidRPr="00244108">
        <w:rPr>
          <w:rFonts w:ascii="Garamond" w:hAnsi="Garamond" w:cs="Times New Roman"/>
          <w:sz w:val="20"/>
          <w:szCs w:val="20"/>
        </w:rPr>
        <w:t>ategories include:</w:t>
      </w:r>
      <w:r w:rsidR="00DA724E" w:rsidRPr="00244108">
        <w:rPr>
          <w:rFonts w:ascii="Garamond" w:hAnsi="Garamond" w:cs="Times New Roman"/>
          <w:b/>
          <w:noProof/>
          <w:color w:val="5AA2AE" w:themeColor="accent5"/>
          <w:sz w:val="20"/>
          <w:szCs w:val="20"/>
        </w:rPr>
        <w:t xml:space="preserve"> </w:t>
      </w:r>
      <w:r w:rsidR="000E2671" w:rsidRPr="00244108">
        <w:rPr>
          <w:rFonts w:ascii="Garamond" w:hAnsi="Garamond" w:cs="Times New Roman"/>
          <w:sz w:val="20"/>
          <w:szCs w:val="20"/>
        </w:rPr>
        <w:br/>
      </w:r>
    </w:p>
    <w:p w14:paraId="58872F69" w14:textId="77777777" w:rsidR="0006665F" w:rsidRPr="00244108" w:rsidRDefault="0006665F" w:rsidP="0006665F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b/>
          <w:sz w:val="20"/>
          <w:szCs w:val="20"/>
        </w:rPr>
        <w:t>Information Dissemination:</w:t>
      </w:r>
      <w:r w:rsidRPr="00244108">
        <w:rPr>
          <w:rFonts w:ascii="Garamond" w:hAnsi="Garamond" w:cs="Times New Roman"/>
          <w:sz w:val="20"/>
          <w:szCs w:val="20"/>
        </w:rPr>
        <w:t xml:space="preserve"> </w:t>
      </w:r>
      <w:r w:rsidR="005B5B65" w:rsidRPr="00244108">
        <w:rPr>
          <w:rFonts w:ascii="Garamond" w:hAnsi="Garamond" w:cs="Times New Roman"/>
          <w:sz w:val="20"/>
          <w:szCs w:val="20"/>
        </w:rPr>
        <w:t>increase</w:t>
      </w:r>
      <w:r w:rsidRPr="00244108">
        <w:rPr>
          <w:rFonts w:ascii="Garamond" w:hAnsi="Garamond" w:cs="Times New Roman"/>
          <w:sz w:val="20"/>
          <w:szCs w:val="20"/>
        </w:rPr>
        <w:t xml:space="preserve"> knowledge and awareness of 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the </w:t>
      </w:r>
      <w:r w:rsidRPr="00244108">
        <w:rPr>
          <w:rFonts w:ascii="Garamond" w:hAnsi="Garamond" w:cs="Times New Roman"/>
          <w:sz w:val="20"/>
          <w:szCs w:val="20"/>
        </w:rPr>
        <w:t>dangers associated with drug use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 and abuse</w:t>
      </w:r>
      <w:r w:rsidRPr="00244108">
        <w:rPr>
          <w:rFonts w:ascii="Garamond" w:hAnsi="Garamond" w:cs="Times New Roman"/>
          <w:sz w:val="20"/>
          <w:szCs w:val="20"/>
        </w:rPr>
        <w:t xml:space="preserve"> </w:t>
      </w:r>
      <w:r w:rsidR="00BE65E1" w:rsidRPr="00244108">
        <w:rPr>
          <w:rFonts w:ascii="Garamond" w:hAnsi="Garamond" w:cs="Times New Roman"/>
          <w:sz w:val="20"/>
          <w:szCs w:val="20"/>
        </w:rPr>
        <w:t>(</w:t>
      </w:r>
      <w:r w:rsidR="00185E7D" w:rsidRPr="00244108">
        <w:rPr>
          <w:rFonts w:ascii="Garamond" w:hAnsi="Garamond" w:cs="Times New Roman"/>
          <w:sz w:val="20"/>
          <w:szCs w:val="20"/>
        </w:rPr>
        <w:t>14.8</w:t>
      </w:r>
      <w:r w:rsidR="002E149C" w:rsidRPr="00244108">
        <w:rPr>
          <w:rFonts w:ascii="Garamond" w:hAnsi="Garamond" w:cs="Times New Roman"/>
          <w:sz w:val="20"/>
          <w:szCs w:val="20"/>
        </w:rPr>
        <w:t>%</w:t>
      </w:r>
      <w:r w:rsidR="00BE65E1" w:rsidRPr="00244108">
        <w:rPr>
          <w:rFonts w:ascii="Garamond" w:hAnsi="Garamond" w:cs="Times New Roman"/>
          <w:sz w:val="20"/>
          <w:szCs w:val="20"/>
        </w:rPr>
        <w:t>)</w:t>
      </w:r>
      <w:r w:rsidR="005B5B65" w:rsidRPr="00244108">
        <w:rPr>
          <w:rFonts w:ascii="Garamond" w:hAnsi="Garamond" w:cs="Times New Roman"/>
          <w:sz w:val="20"/>
          <w:szCs w:val="20"/>
        </w:rPr>
        <w:t>.</w:t>
      </w:r>
      <w:r w:rsidR="008D07E3" w:rsidRPr="00244108">
        <w:rPr>
          <w:rFonts w:ascii="Garamond" w:hAnsi="Garamond" w:cs="Times New Roman"/>
          <w:sz w:val="20"/>
          <w:szCs w:val="20"/>
        </w:rPr>
        <w:t xml:space="preserve"> </w:t>
      </w:r>
    </w:p>
    <w:p w14:paraId="5532A5E9" w14:textId="77777777" w:rsidR="0006665F" w:rsidRPr="00244108" w:rsidRDefault="0006665F" w:rsidP="00D1532B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b/>
          <w:sz w:val="20"/>
          <w:szCs w:val="20"/>
        </w:rPr>
        <w:t>Education:</w:t>
      </w:r>
      <w:r w:rsidRPr="00244108">
        <w:rPr>
          <w:rFonts w:ascii="Garamond" w:hAnsi="Garamond" w:cs="Times New Roman"/>
          <w:sz w:val="20"/>
          <w:szCs w:val="20"/>
        </w:rPr>
        <w:t xml:space="preserve"> build skills 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to </w:t>
      </w:r>
      <w:r w:rsidR="004B2BD0" w:rsidRPr="00244108">
        <w:rPr>
          <w:rFonts w:ascii="Garamond" w:hAnsi="Garamond" w:cs="Times New Roman"/>
          <w:sz w:val="20"/>
          <w:szCs w:val="20"/>
        </w:rPr>
        <w:t>prevent illicit drug use</w:t>
      </w:r>
      <w:r w:rsidR="005B5B65" w:rsidRPr="00244108">
        <w:rPr>
          <w:rFonts w:ascii="Garamond" w:hAnsi="Garamond" w:cs="Times New Roman"/>
          <w:sz w:val="20"/>
          <w:szCs w:val="20"/>
        </w:rPr>
        <w:t>,</w:t>
      </w:r>
      <w:r w:rsidR="004B2BD0" w:rsidRPr="00244108">
        <w:rPr>
          <w:rFonts w:ascii="Garamond" w:hAnsi="Garamond" w:cs="Times New Roman"/>
          <w:sz w:val="20"/>
          <w:szCs w:val="20"/>
        </w:rPr>
        <w:t xml:space="preserve"> including decision making, peer resistance, stress management, and interpersonal communication</w:t>
      </w:r>
      <w:r w:rsidR="00C846B7" w:rsidRPr="00244108">
        <w:rPr>
          <w:rFonts w:ascii="Garamond" w:hAnsi="Garamond" w:cs="Times New Roman"/>
          <w:sz w:val="20"/>
          <w:szCs w:val="20"/>
        </w:rPr>
        <w:t xml:space="preserve"> (2</w:t>
      </w:r>
      <w:r w:rsidR="00185E7D" w:rsidRPr="00244108">
        <w:rPr>
          <w:rFonts w:ascii="Garamond" w:hAnsi="Garamond" w:cs="Times New Roman"/>
          <w:sz w:val="20"/>
          <w:szCs w:val="20"/>
        </w:rPr>
        <w:t>5.7</w:t>
      </w:r>
      <w:r w:rsidR="00C846B7" w:rsidRPr="00244108">
        <w:rPr>
          <w:rFonts w:ascii="Garamond" w:hAnsi="Garamond" w:cs="Times New Roman"/>
          <w:sz w:val="20"/>
          <w:szCs w:val="20"/>
        </w:rPr>
        <w:t>%</w:t>
      </w:r>
      <w:r w:rsidR="00BE65E1" w:rsidRPr="00244108">
        <w:rPr>
          <w:rFonts w:ascii="Garamond" w:hAnsi="Garamond" w:cs="Times New Roman"/>
          <w:sz w:val="20"/>
          <w:szCs w:val="20"/>
        </w:rPr>
        <w:t>)</w:t>
      </w:r>
      <w:r w:rsidR="005B5B65" w:rsidRPr="00244108">
        <w:rPr>
          <w:rFonts w:ascii="Garamond" w:hAnsi="Garamond" w:cs="Times New Roman"/>
          <w:sz w:val="20"/>
          <w:szCs w:val="20"/>
        </w:rPr>
        <w:t>.</w:t>
      </w:r>
    </w:p>
    <w:p w14:paraId="1313C286" w14:textId="77777777" w:rsidR="004B2BD0" w:rsidRPr="00244108" w:rsidRDefault="004B2BD0" w:rsidP="004B2BD0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b/>
          <w:sz w:val="20"/>
          <w:szCs w:val="20"/>
        </w:rPr>
        <w:t xml:space="preserve">Alternatives: 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organize </w:t>
      </w:r>
      <w:r w:rsidRPr="00244108">
        <w:rPr>
          <w:rFonts w:ascii="Garamond" w:hAnsi="Garamond" w:cs="Times New Roman"/>
          <w:sz w:val="20"/>
          <w:szCs w:val="20"/>
        </w:rPr>
        <w:t>healthy activities that exclude alcohol and illicit drugs</w:t>
      </w:r>
      <w:r w:rsidR="00C846B7" w:rsidRPr="00244108">
        <w:rPr>
          <w:rFonts w:ascii="Garamond" w:hAnsi="Garamond" w:cs="Times New Roman"/>
          <w:sz w:val="20"/>
          <w:szCs w:val="20"/>
        </w:rPr>
        <w:t xml:space="preserve"> (</w:t>
      </w:r>
      <w:r w:rsidR="00185E7D" w:rsidRPr="00244108">
        <w:rPr>
          <w:rFonts w:ascii="Garamond" w:hAnsi="Garamond" w:cs="Times New Roman"/>
          <w:sz w:val="20"/>
          <w:szCs w:val="20"/>
        </w:rPr>
        <w:t>8.6</w:t>
      </w:r>
      <w:r w:rsidR="00C846B7" w:rsidRPr="00244108">
        <w:rPr>
          <w:rFonts w:ascii="Garamond" w:hAnsi="Garamond" w:cs="Times New Roman"/>
          <w:sz w:val="20"/>
          <w:szCs w:val="20"/>
        </w:rPr>
        <w:t>%)</w:t>
      </w:r>
      <w:r w:rsidR="00597500" w:rsidRPr="00244108">
        <w:rPr>
          <w:rFonts w:ascii="Garamond" w:hAnsi="Garamond" w:cs="Times New Roman"/>
          <w:sz w:val="20"/>
          <w:szCs w:val="20"/>
        </w:rPr>
        <w:t>.</w:t>
      </w:r>
    </w:p>
    <w:p w14:paraId="781A5137" w14:textId="77777777" w:rsidR="00D1532B" w:rsidRPr="00244108" w:rsidRDefault="00D1532B" w:rsidP="00B5435A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b/>
          <w:sz w:val="20"/>
          <w:szCs w:val="20"/>
        </w:rPr>
        <w:t>Problem Identification:</w:t>
      </w:r>
      <w:r w:rsidRPr="00244108">
        <w:rPr>
          <w:rFonts w:ascii="Garamond" w:hAnsi="Garamond" w:cs="Times New Roman"/>
          <w:sz w:val="20"/>
          <w:szCs w:val="20"/>
        </w:rPr>
        <w:t xml:space="preserve"> identif</w:t>
      </w:r>
      <w:r w:rsidR="005B5B65" w:rsidRPr="00244108">
        <w:rPr>
          <w:rFonts w:ascii="Garamond" w:hAnsi="Garamond" w:cs="Times New Roman"/>
          <w:sz w:val="20"/>
          <w:szCs w:val="20"/>
        </w:rPr>
        <w:t>y</w:t>
      </w:r>
      <w:r w:rsidRPr="00244108">
        <w:rPr>
          <w:rFonts w:ascii="Garamond" w:hAnsi="Garamond" w:cs="Times New Roman"/>
          <w:sz w:val="20"/>
          <w:szCs w:val="20"/>
        </w:rPr>
        <w:t xml:space="preserve"> individuals abusing alcohol and illicit drugs and assess </w:t>
      </w:r>
      <w:r w:rsidR="005B5B65" w:rsidRPr="00244108">
        <w:rPr>
          <w:rFonts w:ascii="Garamond" w:hAnsi="Garamond" w:cs="Times New Roman"/>
          <w:sz w:val="20"/>
          <w:szCs w:val="20"/>
        </w:rPr>
        <w:t xml:space="preserve">whether they can </w:t>
      </w:r>
      <w:r w:rsidRPr="00244108">
        <w:rPr>
          <w:rFonts w:ascii="Garamond" w:hAnsi="Garamond" w:cs="Times New Roman"/>
          <w:sz w:val="20"/>
          <w:szCs w:val="20"/>
        </w:rPr>
        <w:t>be helped by educational services</w:t>
      </w:r>
      <w:r w:rsidR="00BE65E1" w:rsidRPr="00244108">
        <w:rPr>
          <w:rFonts w:ascii="Garamond" w:hAnsi="Garamond" w:cs="Times New Roman"/>
          <w:sz w:val="20"/>
          <w:szCs w:val="20"/>
        </w:rPr>
        <w:t xml:space="preserve"> </w:t>
      </w:r>
      <w:r w:rsidR="00185E7D" w:rsidRPr="00244108">
        <w:rPr>
          <w:rFonts w:ascii="Garamond" w:hAnsi="Garamond" w:cs="Times New Roman"/>
          <w:sz w:val="20"/>
          <w:szCs w:val="20"/>
        </w:rPr>
        <w:t>(6.9</w:t>
      </w:r>
      <w:r w:rsidR="00C846B7" w:rsidRPr="00244108">
        <w:rPr>
          <w:rFonts w:ascii="Garamond" w:hAnsi="Garamond" w:cs="Times New Roman"/>
          <w:sz w:val="20"/>
          <w:szCs w:val="20"/>
        </w:rPr>
        <w:t>%</w:t>
      </w:r>
      <w:r w:rsidR="00BE65E1" w:rsidRPr="00244108">
        <w:rPr>
          <w:rFonts w:ascii="Garamond" w:hAnsi="Garamond" w:cs="Times New Roman"/>
          <w:sz w:val="20"/>
          <w:szCs w:val="20"/>
        </w:rPr>
        <w:t>)</w:t>
      </w:r>
      <w:r w:rsidR="005B5B65" w:rsidRPr="00244108">
        <w:rPr>
          <w:rFonts w:ascii="Garamond" w:hAnsi="Garamond" w:cs="Times New Roman"/>
          <w:sz w:val="20"/>
          <w:szCs w:val="20"/>
        </w:rPr>
        <w:t>.</w:t>
      </w:r>
    </w:p>
    <w:p w14:paraId="24AA9036" w14:textId="77777777" w:rsidR="004B2BD0" w:rsidRPr="00244108" w:rsidRDefault="004B2BD0" w:rsidP="004B2BD0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b/>
          <w:sz w:val="20"/>
          <w:szCs w:val="20"/>
        </w:rPr>
        <w:t>Community-Based Process:</w:t>
      </w:r>
      <w:r w:rsidRPr="00244108">
        <w:rPr>
          <w:rFonts w:ascii="Garamond" w:hAnsi="Garamond" w:cs="Times New Roman"/>
          <w:sz w:val="20"/>
          <w:szCs w:val="20"/>
        </w:rPr>
        <w:t xml:space="preserve"> </w:t>
      </w:r>
      <w:r w:rsidR="00405C79" w:rsidRPr="00244108">
        <w:rPr>
          <w:rFonts w:ascii="Garamond" w:hAnsi="Garamond" w:cs="Times New Roman"/>
          <w:sz w:val="20"/>
          <w:szCs w:val="20"/>
        </w:rPr>
        <w:t>provide networking activities and technical assistance to community groups and agencies</w:t>
      </w:r>
      <w:r w:rsidR="00BE65E1" w:rsidRPr="00244108">
        <w:rPr>
          <w:rFonts w:ascii="Garamond" w:hAnsi="Garamond" w:cs="Times New Roman"/>
          <w:sz w:val="20"/>
          <w:szCs w:val="20"/>
        </w:rPr>
        <w:t xml:space="preserve"> (</w:t>
      </w:r>
      <w:r w:rsidR="00185E7D" w:rsidRPr="00244108">
        <w:rPr>
          <w:rFonts w:ascii="Garamond" w:hAnsi="Garamond" w:cs="Times New Roman"/>
          <w:sz w:val="20"/>
          <w:szCs w:val="20"/>
        </w:rPr>
        <w:t>26.3</w:t>
      </w:r>
      <w:r w:rsidR="00C846B7" w:rsidRPr="00244108">
        <w:rPr>
          <w:rFonts w:ascii="Garamond" w:hAnsi="Garamond" w:cs="Times New Roman"/>
          <w:sz w:val="20"/>
          <w:szCs w:val="20"/>
        </w:rPr>
        <w:t>%</w:t>
      </w:r>
      <w:r w:rsidR="00BE65E1" w:rsidRPr="00244108">
        <w:rPr>
          <w:rFonts w:ascii="Garamond" w:hAnsi="Garamond" w:cs="Times New Roman"/>
          <w:sz w:val="20"/>
          <w:szCs w:val="20"/>
        </w:rPr>
        <w:t>)</w:t>
      </w:r>
      <w:r w:rsidR="005B5B65" w:rsidRPr="00244108">
        <w:rPr>
          <w:rFonts w:ascii="Garamond" w:hAnsi="Garamond" w:cs="Times New Roman"/>
          <w:sz w:val="20"/>
          <w:szCs w:val="20"/>
        </w:rPr>
        <w:t>.</w:t>
      </w:r>
    </w:p>
    <w:p w14:paraId="79F1EC69" w14:textId="5A3A8077" w:rsidR="00E3792B" w:rsidRPr="00DA705B" w:rsidRDefault="004B2BD0" w:rsidP="006B58ED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b/>
          <w:sz w:val="20"/>
          <w:szCs w:val="20"/>
        </w:rPr>
        <w:t>Environmental:</w:t>
      </w:r>
      <w:r w:rsidRPr="00244108">
        <w:rPr>
          <w:rFonts w:ascii="Garamond" w:hAnsi="Garamond" w:cs="Times New Roman"/>
          <w:sz w:val="20"/>
          <w:szCs w:val="20"/>
        </w:rPr>
        <w:t xml:space="preserve"> establish strategies for changing community standards, codes, and attitudes towards alcohol and illicit drug use</w:t>
      </w:r>
      <w:r w:rsidR="00C846B7" w:rsidRPr="00244108">
        <w:rPr>
          <w:rFonts w:ascii="Garamond" w:hAnsi="Garamond" w:cs="Times New Roman"/>
          <w:sz w:val="20"/>
          <w:szCs w:val="20"/>
        </w:rPr>
        <w:t xml:space="preserve"> (</w:t>
      </w:r>
      <w:r w:rsidR="00185E7D" w:rsidRPr="00244108">
        <w:rPr>
          <w:rFonts w:ascii="Garamond" w:hAnsi="Garamond" w:cs="Times New Roman"/>
          <w:sz w:val="20"/>
          <w:szCs w:val="20"/>
        </w:rPr>
        <w:t>10.1</w:t>
      </w:r>
      <w:r w:rsidR="00C846B7" w:rsidRPr="00244108">
        <w:rPr>
          <w:rFonts w:ascii="Garamond" w:hAnsi="Garamond" w:cs="Times New Roman"/>
          <w:sz w:val="20"/>
          <w:szCs w:val="20"/>
        </w:rPr>
        <w:t>%</w:t>
      </w:r>
      <w:r w:rsidR="00BE65E1" w:rsidRPr="00244108">
        <w:rPr>
          <w:rFonts w:ascii="Garamond" w:hAnsi="Garamond" w:cs="Times New Roman"/>
          <w:sz w:val="20"/>
          <w:szCs w:val="20"/>
        </w:rPr>
        <w:t>)</w:t>
      </w:r>
      <w:r w:rsidR="005B5B65" w:rsidRPr="00244108">
        <w:rPr>
          <w:rFonts w:ascii="Garamond" w:hAnsi="Garamond" w:cs="Times New Roman"/>
          <w:sz w:val="20"/>
          <w:szCs w:val="20"/>
        </w:rPr>
        <w:t>.</w:t>
      </w:r>
      <w:r w:rsidR="00021E7A" w:rsidRPr="00244108">
        <w:rPr>
          <w:rFonts w:ascii="Garamond" w:hAnsi="Garamond" w:cs="Times New Roman"/>
          <w:sz w:val="20"/>
          <w:szCs w:val="20"/>
          <w:vertAlign w:val="superscript"/>
        </w:rPr>
        <w:t>1,2</w:t>
      </w:r>
      <w:r w:rsidR="000E2671" w:rsidRPr="00244108">
        <w:rPr>
          <w:rFonts w:ascii="Garamond" w:hAnsi="Garamond" w:cs="Times New Roman"/>
          <w:sz w:val="20"/>
          <w:szCs w:val="20"/>
          <w:vertAlign w:val="superscript"/>
        </w:rPr>
        <w:br/>
      </w:r>
    </w:p>
    <w:p w14:paraId="51076C6F" w14:textId="77777777" w:rsidR="00A43AA6" w:rsidRPr="00244108" w:rsidRDefault="00557FD9" w:rsidP="006B58ED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>Targeted Prevention Efforts</w:t>
      </w:r>
    </w:p>
    <w:p w14:paraId="24D7B492" w14:textId="115F4121" w:rsidR="001A1275" w:rsidRPr="00244108" w:rsidRDefault="001A1275" w:rsidP="006B58ED">
      <w:p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 xml:space="preserve">In addition to general primary prevention efforts, </w:t>
      </w:r>
      <w:r w:rsidR="00557FD9" w:rsidRPr="00244108">
        <w:rPr>
          <w:rFonts w:ascii="Garamond" w:hAnsi="Garamond" w:cs="Times New Roman"/>
          <w:sz w:val="20"/>
          <w:szCs w:val="20"/>
        </w:rPr>
        <w:t xml:space="preserve">States can use SAPT Block Grant prevention set-aside funds to target specific populations that may be at increased risk for developing a substance use disorder. </w:t>
      </w:r>
      <w:r w:rsidRPr="00244108">
        <w:rPr>
          <w:rFonts w:ascii="Garamond" w:hAnsi="Garamond" w:cs="Times New Roman"/>
          <w:sz w:val="20"/>
          <w:szCs w:val="20"/>
        </w:rPr>
        <w:t xml:space="preserve">In 2015, the following populations were targeted: </w:t>
      </w:r>
      <w:r w:rsidR="00557FD9" w:rsidRPr="00244108">
        <w:rPr>
          <w:rFonts w:ascii="Garamond" w:hAnsi="Garamond" w:cs="Times New Roman"/>
          <w:sz w:val="20"/>
          <w:szCs w:val="20"/>
        </w:rPr>
        <w:t>Rural communities (60.0%</w:t>
      </w:r>
      <w:r w:rsidR="00DA705B">
        <w:rPr>
          <w:rFonts w:ascii="Garamond" w:hAnsi="Garamond" w:cs="Times New Roman"/>
          <w:sz w:val="20"/>
          <w:szCs w:val="20"/>
        </w:rPr>
        <w:t xml:space="preserve"> of States</w:t>
      </w:r>
      <w:r w:rsidR="00557FD9" w:rsidRPr="00244108">
        <w:rPr>
          <w:rFonts w:ascii="Garamond" w:hAnsi="Garamond" w:cs="Times New Roman"/>
          <w:sz w:val="20"/>
          <w:szCs w:val="20"/>
        </w:rPr>
        <w:t>)</w:t>
      </w:r>
      <w:r w:rsidRPr="00244108">
        <w:rPr>
          <w:rFonts w:ascii="Garamond" w:hAnsi="Garamond" w:cs="Times New Roman"/>
          <w:sz w:val="20"/>
          <w:szCs w:val="20"/>
        </w:rPr>
        <w:t xml:space="preserve">; </w:t>
      </w:r>
      <w:r w:rsidR="00557FD9" w:rsidRPr="00244108">
        <w:rPr>
          <w:rFonts w:ascii="Garamond" w:hAnsi="Garamond" w:cs="Times New Roman"/>
          <w:sz w:val="20"/>
          <w:szCs w:val="20"/>
        </w:rPr>
        <w:t>College Students (58.3%)</w:t>
      </w:r>
      <w:r w:rsidRPr="00244108">
        <w:rPr>
          <w:rFonts w:ascii="Garamond" w:hAnsi="Garamond" w:cs="Times New Roman"/>
          <w:sz w:val="20"/>
          <w:szCs w:val="20"/>
        </w:rPr>
        <w:t xml:space="preserve">; </w:t>
      </w:r>
      <w:r w:rsidR="00557FD9" w:rsidRPr="00244108">
        <w:rPr>
          <w:rFonts w:ascii="Garamond" w:hAnsi="Garamond" w:cs="Times New Roman"/>
          <w:sz w:val="20"/>
          <w:szCs w:val="20"/>
        </w:rPr>
        <w:t>Underserved Racial and Ethnic Minorities (50.0%)</w:t>
      </w:r>
      <w:r w:rsidRPr="00244108">
        <w:rPr>
          <w:rFonts w:ascii="Garamond" w:hAnsi="Garamond" w:cs="Times New Roman"/>
          <w:sz w:val="20"/>
          <w:szCs w:val="20"/>
        </w:rPr>
        <w:t xml:space="preserve">; </w:t>
      </w:r>
      <w:r w:rsidR="00557FD9" w:rsidRPr="00244108">
        <w:rPr>
          <w:rFonts w:ascii="Garamond" w:hAnsi="Garamond" w:cs="Times New Roman"/>
          <w:sz w:val="20"/>
          <w:szCs w:val="20"/>
        </w:rPr>
        <w:t>Military Families (41.7%)</w:t>
      </w:r>
      <w:r w:rsidRPr="00244108">
        <w:rPr>
          <w:rFonts w:ascii="Garamond" w:hAnsi="Garamond" w:cs="Times New Roman"/>
          <w:sz w:val="20"/>
          <w:szCs w:val="20"/>
        </w:rPr>
        <w:t xml:space="preserve">; </w:t>
      </w:r>
      <w:r w:rsidR="00557FD9" w:rsidRPr="00244108">
        <w:rPr>
          <w:rFonts w:ascii="Garamond" w:hAnsi="Garamond" w:cs="Times New Roman"/>
          <w:sz w:val="20"/>
          <w:szCs w:val="20"/>
        </w:rPr>
        <w:t>African American (40.0%)</w:t>
      </w:r>
      <w:r w:rsidRPr="00244108">
        <w:rPr>
          <w:rFonts w:ascii="Garamond" w:hAnsi="Garamond" w:cs="Times New Roman"/>
          <w:sz w:val="20"/>
          <w:szCs w:val="20"/>
        </w:rPr>
        <w:t xml:space="preserve">; </w:t>
      </w:r>
      <w:r w:rsidR="00557FD9" w:rsidRPr="00244108">
        <w:rPr>
          <w:rFonts w:ascii="Garamond" w:hAnsi="Garamond" w:cs="Times New Roman"/>
          <w:sz w:val="20"/>
          <w:szCs w:val="20"/>
        </w:rPr>
        <w:t>Hispanic (38.3%)</w:t>
      </w:r>
      <w:r w:rsidRPr="00244108">
        <w:rPr>
          <w:rFonts w:ascii="Garamond" w:hAnsi="Garamond" w:cs="Times New Roman"/>
          <w:sz w:val="20"/>
          <w:szCs w:val="20"/>
        </w:rPr>
        <w:t xml:space="preserve">; </w:t>
      </w:r>
      <w:r w:rsidR="00557FD9" w:rsidRPr="00244108">
        <w:rPr>
          <w:rFonts w:ascii="Garamond" w:hAnsi="Garamond" w:cs="Times New Roman"/>
          <w:sz w:val="20"/>
          <w:szCs w:val="20"/>
        </w:rPr>
        <w:t>LGBTQ (35.0%)</w:t>
      </w:r>
      <w:r w:rsidRPr="00244108">
        <w:rPr>
          <w:rFonts w:ascii="Garamond" w:hAnsi="Garamond" w:cs="Times New Roman"/>
          <w:sz w:val="20"/>
          <w:szCs w:val="20"/>
        </w:rPr>
        <w:t xml:space="preserve">; American Indian/Alaska Native (33.3%); </w:t>
      </w:r>
      <w:r w:rsidR="00557FD9" w:rsidRPr="00244108">
        <w:rPr>
          <w:rFonts w:ascii="Garamond" w:hAnsi="Garamond" w:cs="Times New Roman"/>
          <w:sz w:val="20"/>
          <w:szCs w:val="20"/>
        </w:rPr>
        <w:t>Asian (30.0%)</w:t>
      </w:r>
      <w:r w:rsidRPr="00244108">
        <w:rPr>
          <w:rFonts w:ascii="Garamond" w:hAnsi="Garamond" w:cs="Times New Roman"/>
          <w:sz w:val="20"/>
          <w:szCs w:val="20"/>
        </w:rPr>
        <w:t xml:space="preserve">; </w:t>
      </w:r>
      <w:r w:rsidR="00557FD9" w:rsidRPr="00244108">
        <w:rPr>
          <w:rFonts w:ascii="Garamond" w:hAnsi="Garamond" w:cs="Times New Roman"/>
          <w:sz w:val="20"/>
          <w:szCs w:val="20"/>
        </w:rPr>
        <w:t>Native Hawaiian/Other Pacific Islanders (26.7%)</w:t>
      </w:r>
      <w:r w:rsidRPr="00244108">
        <w:rPr>
          <w:rFonts w:ascii="Garamond" w:hAnsi="Garamond" w:cs="Times New Roman"/>
          <w:sz w:val="20"/>
          <w:szCs w:val="20"/>
        </w:rPr>
        <w:t>; and Homeless (18.3%).</w:t>
      </w:r>
      <w:r w:rsidR="009A23A5" w:rsidRPr="00244108">
        <w:rPr>
          <w:rFonts w:ascii="Garamond" w:hAnsi="Garamond" w:cs="Times New Roman"/>
          <w:sz w:val="20"/>
          <w:szCs w:val="20"/>
          <w:vertAlign w:val="superscript"/>
        </w:rPr>
        <w:t>2</w:t>
      </w:r>
    </w:p>
    <w:p w14:paraId="0236FB24" w14:textId="77777777" w:rsidR="00557FD9" w:rsidRPr="00244108" w:rsidRDefault="00557FD9" w:rsidP="006B58ED">
      <w:pPr>
        <w:rPr>
          <w:rFonts w:ascii="Garamond" w:hAnsi="Garamond" w:cs="Times New Roman"/>
          <w:b/>
          <w:color w:val="498CF1" w:themeColor="background2" w:themeShade="BF"/>
          <w:sz w:val="20"/>
          <w:szCs w:val="20"/>
        </w:rPr>
      </w:pPr>
    </w:p>
    <w:p w14:paraId="124D4D1A" w14:textId="77777777" w:rsidR="006B58ED" w:rsidRPr="00244108" w:rsidRDefault="006B58ED" w:rsidP="006B58ED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 xml:space="preserve">Role of State </w:t>
      </w:r>
      <w:r w:rsidR="007754D7">
        <w:rPr>
          <w:rFonts w:ascii="Garamond" w:hAnsi="Garamond" w:cs="Times New Roman"/>
          <w:b/>
          <w:color w:val="5AA2AE" w:themeColor="accent5"/>
          <w:sz w:val="20"/>
          <w:szCs w:val="20"/>
        </w:rPr>
        <w:t>Alcohol and Drug</w:t>
      </w: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 xml:space="preserve"> </w:t>
      </w:r>
      <w:r w:rsidR="007754D7">
        <w:rPr>
          <w:rFonts w:ascii="Garamond" w:hAnsi="Garamond" w:cs="Times New Roman"/>
          <w:b/>
          <w:color w:val="5AA2AE" w:themeColor="accent5"/>
          <w:sz w:val="20"/>
          <w:szCs w:val="20"/>
        </w:rPr>
        <w:t>Authorities</w:t>
      </w: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 xml:space="preserve"> and Prevention</w:t>
      </w:r>
    </w:p>
    <w:p w14:paraId="3A939AB1" w14:textId="6DFB761E" w:rsidR="006B58ED" w:rsidRPr="00244108" w:rsidRDefault="006B58ED" w:rsidP="006B58ED">
      <w:p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 xml:space="preserve">NASADAD represents State </w:t>
      </w:r>
      <w:r w:rsidR="007754D7">
        <w:rPr>
          <w:rFonts w:ascii="Garamond" w:hAnsi="Garamond" w:cs="Times New Roman"/>
          <w:sz w:val="20"/>
          <w:szCs w:val="20"/>
        </w:rPr>
        <w:t>alcohol and drug</w:t>
      </w:r>
      <w:r w:rsidRPr="00244108">
        <w:rPr>
          <w:rFonts w:ascii="Garamond" w:hAnsi="Garamond" w:cs="Times New Roman"/>
          <w:sz w:val="20"/>
          <w:szCs w:val="20"/>
        </w:rPr>
        <w:t xml:space="preserve"> </w:t>
      </w:r>
      <w:r w:rsidR="007754D7">
        <w:rPr>
          <w:rFonts w:ascii="Garamond" w:hAnsi="Garamond" w:cs="Times New Roman"/>
          <w:sz w:val="20"/>
          <w:szCs w:val="20"/>
        </w:rPr>
        <w:t>authority</w:t>
      </w:r>
      <w:r w:rsidR="00191DEB" w:rsidRPr="00244108">
        <w:rPr>
          <w:rFonts w:ascii="Garamond" w:hAnsi="Garamond" w:cs="Times New Roman"/>
          <w:sz w:val="20"/>
          <w:szCs w:val="20"/>
        </w:rPr>
        <w:t xml:space="preserve"> </w:t>
      </w:r>
      <w:r w:rsidR="00F81645">
        <w:rPr>
          <w:rFonts w:ascii="Garamond" w:hAnsi="Garamond" w:cs="Times New Roman"/>
          <w:sz w:val="20"/>
          <w:szCs w:val="20"/>
        </w:rPr>
        <w:t>directors from the fifty S</w:t>
      </w:r>
      <w:r w:rsidRPr="00244108">
        <w:rPr>
          <w:rFonts w:ascii="Garamond" w:hAnsi="Garamond" w:cs="Times New Roman"/>
          <w:sz w:val="20"/>
          <w:szCs w:val="20"/>
        </w:rPr>
        <w:t xml:space="preserve">tates, the District of Columbia, and the five U.S. Territories. The National Prevention Network (NPN) is a component organization of NASADAD. The NPN consists of State </w:t>
      </w:r>
      <w:r w:rsidR="00A9722C">
        <w:rPr>
          <w:rFonts w:ascii="Garamond" w:hAnsi="Garamond" w:cs="Times New Roman"/>
          <w:sz w:val="20"/>
          <w:szCs w:val="20"/>
        </w:rPr>
        <w:t>p</w:t>
      </w:r>
      <w:r w:rsidRPr="00244108">
        <w:rPr>
          <w:rFonts w:ascii="Garamond" w:hAnsi="Garamond" w:cs="Times New Roman"/>
          <w:sz w:val="20"/>
          <w:szCs w:val="20"/>
        </w:rPr>
        <w:t xml:space="preserve">revention </w:t>
      </w:r>
      <w:r w:rsidR="00A9722C">
        <w:rPr>
          <w:rFonts w:ascii="Garamond" w:hAnsi="Garamond" w:cs="Times New Roman"/>
          <w:sz w:val="20"/>
          <w:szCs w:val="20"/>
        </w:rPr>
        <w:t>c</w:t>
      </w:r>
      <w:r w:rsidRPr="00244108">
        <w:rPr>
          <w:rFonts w:ascii="Garamond" w:hAnsi="Garamond" w:cs="Times New Roman"/>
          <w:sz w:val="20"/>
          <w:szCs w:val="20"/>
        </w:rPr>
        <w:t xml:space="preserve">oordinators who work with State </w:t>
      </w:r>
      <w:r w:rsidR="007754D7">
        <w:rPr>
          <w:rFonts w:ascii="Garamond" w:hAnsi="Garamond" w:cs="Times New Roman"/>
          <w:sz w:val="20"/>
          <w:szCs w:val="20"/>
        </w:rPr>
        <w:t>alcohol and drug authority</w:t>
      </w:r>
      <w:r w:rsidRPr="00244108">
        <w:rPr>
          <w:rFonts w:ascii="Garamond" w:hAnsi="Garamond" w:cs="Times New Roman"/>
          <w:sz w:val="20"/>
          <w:szCs w:val="20"/>
        </w:rPr>
        <w:t xml:space="preserve"> directors to </w:t>
      </w:r>
      <w:r w:rsidR="00191DEB" w:rsidRPr="00244108">
        <w:rPr>
          <w:rFonts w:ascii="Garamond" w:hAnsi="Garamond" w:cs="Times New Roman"/>
          <w:sz w:val="20"/>
          <w:szCs w:val="20"/>
        </w:rPr>
        <w:t>provide</w:t>
      </w:r>
      <w:r w:rsidRPr="00244108">
        <w:rPr>
          <w:rFonts w:ascii="Garamond" w:hAnsi="Garamond" w:cs="Times New Roman"/>
          <w:sz w:val="20"/>
          <w:szCs w:val="20"/>
        </w:rPr>
        <w:t xml:space="preserve"> high quality alcohol, tobacco, </w:t>
      </w:r>
      <w:r w:rsidR="00191DEB" w:rsidRPr="00244108">
        <w:rPr>
          <w:rFonts w:ascii="Garamond" w:hAnsi="Garamond" w:cs="Times New Roman"/>
          <w:sz w:val="20"/>
          <w:szCs w:val="20"/>
        </w:rPr>
        <w:t xml:space="preserve">and </w:t>
      </w:r>
      <w:r w:rsidRPr="00244108">
        <w:rPr>
          <w:rFonts w:ascii="Garamond" w:hAnsi="Garamond" w:cs="Times New Roman"/>
          <w:sz w:val="20"/>
          <w:szCs w:val="20"/>
        </w:rPr>
        <w:t xml:space="preserve">illicit drug </w:t>
      </w:r>
      <w:r w:rsidR="007754D7">
        <w:rPr>
          <w:rFonts w:ascii="Garamond" w:hAnsi="Garamond" w:cs="Times New Roman"/>
          <w:sz w:val="20"/>
          <w:szCs w:val="20"/>
        </w:rPr>
        <w:t>use</w:t>
      </w:r>
      <w:r w:rsidRPr="00244108">
        <w:rPr>
          <w:rFonts w:ascii="Garamond" w:hAnsi="Garamond" w:cs="Times New Roman"/>
          <w:sz w:val="20"/>
          <w:szCs w:val="20"/>
        </w:rPr>
        <w:t xml:space="preserve"> prevention services. States work with local communities to ensure </w:t>
      </w:r>
      <w:r w:rsidR="00191DEB" w:rsidRPr="00244108">
        <w:rPr>
          <w:rFonts w:ascii="Garamond" w:hAnsi="Garamond" w:cs="Times New Roman"/>
          <w:sz w:val="20"/>
          <w:szCs w:val="20"/>
        </w:rPr>
        <w:t xml:space="preserve">that </w:t>
      </w:r>
      <w:r w:rsidRPr="00244108">
        <w:rPr>
          <w:rFonts w:ascii="Garamond" w:hAnsi="Garamond" w:cs="Times New Roman"/>
          <w:sz w:val="20"/>
          <w:szCs w:val="20"/>
        </w:rPr>
        <w:t xml:space="preserve">public dollars are dedicated to effective programs </w:t>
      </w:r>
      <w:r w:rsidR="00191DEB" w:rsidRPr="00244108">
        <w:rPr>
          <w:rFonts w:ascii="Garamond" w:hAnsi="Garamond" w:cs="Times New Roman"/>
          <w:sz w:val="20"/>
          <w:szCs w:val="20"/>
        </w:rPr>
        <w:t xml:space="preserve">using </w:t>
      </w:r>
      <w:r w:rsidRPr="00244108">
        <w:rPr>
          <w:rFonts w:ascii="Garamond" w:hAnsi="Garamond" w:cs="Times New Roman"/>
          <w:sz w:val="20"/>
          <w:szCs w:val="20"/>
        </w:rPr>
        <w:t xml:space="preserve">tools such as: </w:t>
      </w:r>
      <w:r w:rsidR="00672580" w:rsidRPr="00672580">
        <w:rPr>
          <w:rFonts w:ascii="Garamond" w:hAnsi="Garamond" w:cs="Times New Roman"/>
          <w:sz w:val="20"/>
          <w:szCs w:val="20"/>
        </w:rPr>
        <w:t>providing data for data-driven decision making</w:t>
      </w:r>
      <w:r w:rsidR="00672580">
        <w:rPr>
          <w:rFonts w:ascii="Garamond" w:hAnsi="Garamond" w:cs="Times New Roman"/>
          <w:sz w:val="20"/>
          <w:szCs w:val="20"/>
        </w:rPr>
        <w:t>;</w:t>
      </w:r>
      <w:r w:rsidR="00672580" w:rsidRPr="00672580">
        <w:rPr>
          <w:rFonts w:ascii="Garamond" w:hAnsi="Garamond" w:cs="Times New Roman"/>
          <w:sz w:val="20"/>
          <w:szCs w:val="20"/>
        </w:rPr>
        <w:t xml:space="preserve"> workforce development thr</w:t>
      </w:r>
      <w:r w:rsidR="00672580">
        <w:rPr>
          <w:rFonts w:ascii="Garamond" w:hAnsi="Garamond" w:cs="Times New Roman"/>
          <w:sz w:val="20"/>
          <w:szCs w:val="20"/>
        </w:rPr>
        <w:t>ough training and credentialing;</w:t>
      </w:r>
      <w:r w:rsidR="00672580" w:rsidRPr="00672580">
        <w:rPr>
          <w:rFonts w:ascii="Garamond" w:hAnsi="Garamond" w:cs="Times New Roman"/>
          <w:sz w:val="20"/>
          <w:szCs w:val="20"/>
        </w:rPr>
        <w:t xml:space="preserve"> performanc</w:t>
      </w:r>
      <w:r w:rsidR="00672580">
        <w:rPr>
          <w:rFonts w:ascii="Garamond" w:hAnsi="Garamond" w:cs="Times New Roman"/>
          <w:sz w:val="20"/>
          <w:szCs w:val="20"/>
        </w:rPr>
        <w:t>e data management and reporting;</w:t>
      </w:r>
      <w:r w:rsidR="00672580" w:rsidRPr="00672580">
        <w:rPr>
          <w:rFonts w:ascii="Garamond" w:hAnsi="Garamond" w:cs="Times New Roman"/>
          <w:sz w:val="20"/>
          <w:szCs w:val="20"/>
        </w:rPr>
        <w:t xml:space="preserve"> and technical ass</w:t>
      </w:r>
      <w:r w:rsidR="00672580">
        <w:rPr>
          <w:rFonts w:ascii="Garamond" w:hAnsi="Garamond" w:cs="Times New Roman"/>
          <w:sz w:val="20"/>
          <w:szCs w:val="20"/>
        </w:rPr>
        <w:t>istance to community coalitions</w:t>
      </w:r>
      <w:r w:rsidRPr="00244108">
        <w:rPr>
          <w:rFonts w:ascii="Garamond" w:hAnsi="Garamond" w:cs="Times New Roman"/>
          <w:sz w:val="20"/>
          <w:szCs w:val="20"/>
        </w:rPr>
        <w:t>.</w:t>
      </w:r>
      <w:r w:rsidR="00D16883" w:rsidRPr="00244108">
        <w:rPr>
          <w:rFonts w:ascii="Garamond" w:hAnsi="Garamond" w:cs="Times New Roman"/>
          <w:sz w:val="20"/>
          <w:szCs w:val="20"/>
        </w:rPr>
        <w:t xml:space="preserve"> Use of evidence-based prevention practices is encouraged among State </w:t>
      </w:r>
      <w:r w:rsidR="007754D7">
        <w:rPr>
          <w:rFonts w:ascii="Garamond" w:hAnsi="Garamond" w:cs="Times New Roman"/>
          <w:sz w:val="20"/>
          <w:szCs w:val="20"/>
        </w:rPr>
        <w:t>alcohol and drug authorities</w:t>
      </w:r>
      <w:r w:rsidR="00D16883" w:rsidRPr="00244108">
        <w:rPr>
          <w:rFonts w:ascii="Garamond" w:hAnsi="Garamond" w:cs="Times New Roman"/>
          <w:sz w:val="20"/>
          <w:szCs w:val="20"/>
        </w:rPr>
        <w:t>.</w:t>
      </w:r>
      <w:r w:rsidR="00E968AD" w:rsidRPr="00244108">
        <w:rPr>
          <w:rFonts w:ascii="Garamond" w:hAnsi="Garamond"/>
          <w:noProof/>
          <w:sz w:val="20"/>
          <w:szCs w:val="20"/>
        </w:rPr>
        <w:t xml:space="preserve"> </w:t>
      </w:r>
    </w:p>
    <w:p w14:paraId="4BA24447" w14:textId="77777777" w:rsidR="00C708B5" w:rsidRPr="00244108" w:rsidRDefault="00C708B5" w:rsidP="006B58ED">
      <w:pPr>
        <w:rPr>
          <w:rFonts w:ascii="Garamond" w:hAnsi="Garamond" w:cs="Times New Roman"/>
          <w:sz w:val="20"/>
          <w:szCs w:val="20"/>
        </w:rPr>
      </w:pPr>
    </w:p>
    <w:p w14:paraId="2B2238AD" w14:textId="77777777" w:rsidR="00C708B5" w:rsidRPr="00244108" w:rsidRDefault="00C708B5" w:rsidP="00C708B5">
      <w:pPr>
        <w:rPr>
          <w:rFonts w:ascii="Garamond" w:hAnsi="Garamond" w:cs="Times New Roman"/>
          <w:b/>
          <w:color w:val="5AA2AE" w:themeColor="accent5"/>
          <w:sz w:val="20"/>
          <w:szCs w:val="20"/>
        </w:rPr>
      </w:pPr>
      <w:r w:rsidRPr="00244108">
        <w:rPr>
          <w:rFonts w:ascii="Garamond" w:hAnsi="Garamond" w:cs="Times New Roman"/>
          <w:b/>
          <w:color w:val="5AA2AE" w:themeColor="accent5"/>
          <w:sz w:val="20"/>
          <w:szCs w:val="20"/>
        </w:rPr>
        <w:t>Reduced Substance Abuse Prevention Resources</w:t>
      </w:r>
    </w:p>
    <w:p w14:paraId="5AE5195E" w14:textId="63C0C202" w:rsidR="008E5433" w:rsidRPr="00244108" w:rsidRDefault="00DA3A9B" w:rsidP="006B58ED">
      <w:pPr>
        <w:rPr>
          <w:rFonts w:ascii="Garamond" w:hAnsi="Garamond" w:cs="Times New Roman"/>
          <w:sz w:val="20"/>
          <w:szCs w:val="20"/>
        </w:rPr>
      </w:pPr>
      <w:r w:rsidRPr="00244108">
        <w:rPr>
          <w:rFonts w:ascii="Garamond" w:hAnsi="Garamond" w:cs="Times New Roman"/>
          <w:sz w:val="20"/>
          <w:szCs w:val="20"/>
        </w:rPr>
        <w:t>The SAPT Block Grant remains the largest source of fundin</w:t>
      </w:r>
      <w:r w:rsidR="00BD336A" w:rsidRPr="00244108">
        <w:rPr>
          <w:rFonts w:ascii="Garamond" w:hAnsi="Garamond" w:cs="Times New Roman"/>
          <w:sz w:val="20"/>
          <w:szCs w:val="20"/>
        </w:rPr>
        <w:t>g for prevention programs</w:t>
      </w:r>
      <w:r w:rsidR="00CE1E15" w:rsidRPr="00244108">
        <w:rPr>
          <w:rFonts w:ascii="Garamond" w:hAnsi="Garamond" w:cs="Times New Roman"/>
          <w:sz w:val="20"/>
          <w:szCs w:val="20"/>
        </w:rPr>
        <w:t xml:space="preserve"> managed by State </w:t>
      </w:r>
      <w:r w:rsidR="007754D7">
        <w:rPr>
          <w:rFonts w:ascii="Garamond" w:hAnsi="Garamond" w:cs="Times New Roman"/>
          <w:sz w:val="20"/>
          <w:szCs w:val="20"/>
        </w:rPr>
        <w:t>alcohol and drug authorities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. </w:t>
      </w:r>
      <w:r w:rsidR="00E67244">
        <w:rPr>
          <w:rFonts w:ascii="Garamond" w:hAnsi="Garamond" w:cs="Times New Roman"/>
          <w:sz w:val="20"/>
          <w:szCs w:val="20"/>
        </w:rPr>
        <w:t>In recent history,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 both </w:t>
      </w:r>
      <w:r w:rsidR="00E3792B" w:rsidRPr="00244108">
        <w:rPr>
          <w:rFonts w:ascii="Garamond" w:hAnsi="Garamond" w:cs="Times New Roman"/>
          <w:sz w:val="20"/>
          <w:szCs w:val="20"/>
        </w:rPr>
        <w:t>S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tate and federal funding for substance </w:t>
      </w:r>
      <w:r w:rsidR="007754D7">
        <w:rPr>
          <w:rFonts w:ascii="Garamond" w:hAnsi="Garamond" w:cs="Times New Roman"/>
          <w:sz w:val="20"/>
          <w:szCs w:val="20"/>
        </w:rPr>
        <w:t>use disorder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 prevention and treatment </w:t>
      </w:r>
      <w:r w:rsidR="00E67244">
        <w:rPr>
          <w:rFonts w:ascii="Garamond" w:hAnsi="Garamond" w:cs="Times New Roman"/>
          <w:sz w:val="20"/>
          <w:szCs w:val="20"/>
        </w:rPr>
        <w:t>have remained</w:t>
      </w:r>
      <w:r w:rsidR="0085623A" w:rsidRPr="00244108">
        <w:rPr>
          <w:rFonts w:ascii="Garamond" w:hAnsi="Garamond" w:cs="Times New Roman"/>
          <w:sz w:val="20"/>
          <w:szCs w:val="20"/>
        </w:rPr>
        <w:t xml:space="preserve"> stagnant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. </w:t>
      </w:r>
      <w:r w:rsidR="009A4643" w:rsidRPr="00244108">
        <w:rPr>
          <w:rFonts w:ascii="Garamond" w:hAnsi="Garamond" w:cs="Times New Roman"/>
          <w:sz w:val="20"/>
          <w:szCs w:val="20"/>
        </w:rPr>
        <w:t>Despite staggering increases in opioid overdose deaths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, </w:t>
      </w:r>
      <w:r w:rsidR="002C0300" w:rsidRPr="00244108">
        <w:rPr>
          <w:rFonts w:ascii="Garamond" w:hAnsi="Garamond" w:cs="Times New Roman"/>
          <w:sz w:val="20"/>
          <w:szCs w:val="20"/>
        </w:rPr>
        <w:t>total primary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 </w:t>
      </w:r>
      <w:r w:rsidR="002C0300" w:rsidRPr="00244108">
        <w:rPr>
          <w:rFonts w:ascii="Garamond" w:hAnsi="Garamond" w:cs="Times New Roman"/>
          <w:sz w:val="20"/>
          <w:szCs w:val="20"/>
        </w:rPr>
        <w:t xml:space="preserve">prevention </w:t>
      </w:r>
      <w:r w:rsidR="00BD336A" w:rsidRPr="00244108">
        <w:rPr>
          <w:rFonts w:ascii="Garamond" w:hAnsi="Garamond" w:cs="Times New Roman"/>
          <w:sz w:val="20"/>
          <w:szCs w:val="20"/>
        </w:rPr>
        <w:t>expenditures</w:t>
      </w:r>
      <w:r w:rsidR="007754D7">
        <w:rPr>
          <w:rFonts w:ascii="Garamond" w:hAnsi="Garamond" w:cs="Times New Roman"/>
          <w:sz w:val="20"/>
          <w:szCs w:val="20"/>
        </w:rPr>
        <w:t xml:space="preserve"> managed by State alcohol and drug authorities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 </w:t>
      </w:r>
      <w:r w:rsidR="001A1275" w:rsidRPr="00244108">
        <w:rPr>
          <w:rFonts w:ascii="Garamond" w:hAnsi="Garamond" w:cs="Times New Roman"/>
          <w:sz w:val="20"/>
          <w:szCs w:val="20"/>
        </w:rPr>
        <w:t>dropped from</w:t>
      </w:r>
      <w:r w:rsidR="0085623A" w:rsidRPr="00244108">
        <w:rPr>
          <w:rFonts w:ascii="Garamond" w:hAnsi="Garamond" w:cs="Times New Roman"/>
          <w:sz w:val="20"/>
          <w:szCs w:val="20"/>
        </w:rPr>
        <w:t xml:space="preserve"> </w:t>
      </w:r>
      <w:r w:rsidR="00BD336A" w:rsidRPr="00244108">
        <w:rPr>
          <w:rFonts w:ascii="Garamond" w:hAnsi="Garamond" w:cs="Times New Roman"/>
          <w:sz w:val="20"/>
          <w:szCs w:val="20"/>
        </w:rPr>
        <w:t>$583 million in 2008 to $5</w:t>
      </w:r>
      <w:r w:rsidR="001A1275" w:rsidRPr="00244108">
        <w:rPr>
          <w:rFonts w:ascii="Garamond" w:hAnsi="Garamond" w:cs="Times New Roman"/>
          <w:sz w:val="20"/>
          <w:szCs w:val="20"/>
        </w:rPr>
        <w:t>7</w:t>
      </w:r>
      <w:r w:rsidR="0085623A" w:rsidRPr="00244108">
        <w:rPr>
          <w:rFonts w:ascii="Garamond" w:hAnsi="Garamond" w:cs="Times New Roman"/>
          <w:sz w:val="20"/>
          <w:szCs w:val="20"/>
        </w:rPr>
        <w:t>7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 million in 201</w:t>
      </w:r>
      <w:r w:rsidR="0085623A" w:rsidRPr="00244108">
        <w:rPr>
          <w:rFonts w:ascii="Garamond" w:hAnsi="Garamond" w:cs="Times New Roman"/>
          <w:sz w:val="20"/>
          <w:szCs w:val="20"/>
        </w:rPr>
        <w:t>5</w:t>
      </w:r>
      <w:r w:rsidR="00BD336A" w:rsidRPr="00244108">
        <w:rPr>
          <w:rFonts w:ascii="Garamond" w:hAnsi="Garamond" w:cs="Times New Roman"/>
          <w:sz w:val="20"/>
          <w:szCs w:val="20"/>
        </w:rPr>
        <w:t>.</w:t>
      </w:r>
      <w:r w:rsidR="00F42D1B" w:rsidRPr="00244108">
        <w:rPr>
          <w:rFonts w:ascii="Garamond" w:hAnsi="Garamond" w:cs="Times New Roman"/>
          <w:sz w:val="20"/>
          <w:szCs w:val="20"/>
          <w:vertAlign w:val="superscript"/>
        </w:rPr>
        <w:t>2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 </w:t>
      </w:r>
      <w:r w:rsidR="00E67244">
        <w:rPr>
          <w:rFonts w:ascii="Garamond" w:hAnsi="Garamond" w:cs="Times New Roman"/>
          <w:sz w:val="20"/>
          <w:szCs w:val="20"/>
        </w:rPr>
        <w:t>However, in 2016 Congress worked with the Administration to reverse this trend by allocating $1 billion to States for opioid-related services in the 21</w:t>
      </w:r>
      <w:r w:rsidR="00E67244" w:rsidRPr="00E67244">
        <w:rPr>
          <w:rFonts w:ascii="Garamond" w:hAnsi="Garamond" w:cs="Times New Roman"/>
          <w:sz w:val="20"/>
          <w:szCs w:val="20"/>
          <w:vertAlign w:val="superscript"/>
        </w:rPr>
        <w:t>st</w:t>
      </w:r>
      <w:r w:rsidR="00E67244">
        <w:rPr>
          <w:rFonts w:ascii="Garamond" w:hAnsi="Garamond" w:cs="Times New Roman"/>
          <w:sz w:val="20"/>
          <w:szCs w:val="20"/>
        </w:rPr>
        <w:t xml:space="preserve"> Century Cures Act, and by approving and funding programs in the Comprehensive Addiction and Recovery Act, among other efforts. </w:t>
      </w:r>
      <w:r w:rsidR="00E67244" w:rsidRPr="00244108">
        <w:rPr>
          <w:rFonts w:ascii="Garamond" w:hAnsi="Garamond" w:cs="Times New Roman"/>
          <w:sz w:val="20"/>
          <w:szCs w:val="20"/>
        </w:rPr>
        <w:t xml:space="preserve">States need </w:t>
      </w:r>
      <w:r w:rsidR="00E67244">
        <w:rPr>
          <w:rFonts w:ascii="Garamond" w:hAnsi="Garamond" w:cs="Times New Roman"/>
          <w:sz w:val="20"/>
          <w:szCs w:val="20"/>
        </w:rPr>
        <w:t xml:space="preserve">this type of </w:t>
      </w:r>
      <w:r w:rsidR="00E67244" w:rsidRPr="00244108">
        <w:rPr>
          <w:rFonts w:ascii="Garamond" w:hAnsi="Garamond" w:cs="Times New Roman"/>
          <w:sz w:val="20"/>
          <w:szCs w:val="20"/>
        </w:rPr>
        <w:t>continued funding for prevention</w:t>
      </w:r>
      <w:r w:rsidR="00AF30E7">
        <w:rPr>
          <w:rFonts w:ascii="Garamond" w:hAnsi="Garamond" w:cs="Times New Roman"/>
          <w:sz w:val="20"/>
          <w:szCs w:val="20"/>
        </w:rPr>
        <w:t>—as well as treatment</w:t>
      </w:r>
      <w:r w:rsidR="00E67244" w:rsidRPr="00244108">
        <w:rPr>
          <w:rFonts w:ascii="Garamond" w:hAnsi="Garamond" w:cs="Times New Roman"/>
          <w:sz w:val="20"/>
          <w:szCs w:val="20"/>
        </w:rPr>
        <w:t xml:space="preserve"> and recovery</w:t>
      </w:r>
      <w:r w:rsidR="00AF30E7">
        <w:rPr>
          <w:rFonts w:ascii="Garamond" w:hAnsi="Garamond" w:cs="Times New Roman"/>
          <w:sz w:val="20"/>
          <w:szCs w:val="20"/>
        </w:rPr>
        <w:t>—</w:t>
      </w:r>
      <w:r w:rsidR="00E67244" w:rsidRPr="00244108">
        <w:rPr>
          <w:rFonts w:ascii="Garamond" w:hAnsi="Garamond" w:cs="Times New Roman"/>
          <w:sz w:val="20"/>
          <w:szCs w:val="20"/>
        </w:rPr>
        <w:t>to aid individuals suffering from or at risk for substance use disorders.</w:t>
      </w:r>
    </w:p>
    <w:p w14:paraId="220B00CB" w14:textId="77777777" w:rsidR="008E5433" w:rsidRPr="00244108" w:rsidRDefault="008E5433" w:rsidP="006B58ED">
      <w:pPr>
        <w:rPr>
          <w:rFonts w:ascii="Garamond" w:hAnsi="Garamond" w:cs="Times New Roman"/>
          <w:sz w:val="20"/>
          <w:szCs w:val="20"/>
        </w:rPr>
      </w:pPr>
    </w:p>
    <w:p w14:paraId="1B2A36D4" w14:textId="1215B4C9" w:rsidR="00C708B5" w:rsidRPr="00244108" w:rsidRDefault="00E67244" w:rsidP="006B58E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Evidence-b</w:t>
      </w:r>
      <w:r w:rsidRPr="00E67244">
        <w:rPr>
          <w:rFonts w:ascii="Garamond" w:hAnsi="Garamond" w:cs="Times New Roman"/>
          <w:sz w:val="20"/>
          <w:szCs w:val="20"/>
        </w:rPr>
        <w:t xml:space="preserve">ased </w:t>
      </w:r>
      <w:r>
        <w:rPr>
          <w:rFonts w:ascii="Garamond" w:hAnsi="Garamond" w:cs="Times New Roman"/>
          <w:sz w:val="20"/>
          <w:szCs w:val="20"/>
        </w:rPr>
        <w:t>s</w:t>
      </w:r>
      <w:r w:rsidRPr="00E67244">
        <w:rPr>
          <w:rFonts w:ascii="Garamond" w:hAnsi="Garamond" w:cs="Times New Roman"/>
          <w:sz w:val="20"/>
          <w:szCs w:val="20"/>
        </w:rPr>
        <w:t xml:space="preserve">ubstance abuse prevention is effective in reducing the costly individual, </w:t>
      </w:r>
      <w:r>
        <w:rPr>
          <w:rFonts w:ascii="Garamond" w:hAnsi="Garamond" w:cs="Times New Roman"/>
          <w:sz w:val="20"/>
          <w:szCs w:val="20"/>
        </w:rPr>
        <w:t>societal,</w:t>
      </w:r>
      <w:r w:rsidRPr="00E67244">
        <w:rPr>
          <w:rFonts w:ascii="Garamond" w:hAnsi="Garamond" w:cs="Times New Roman"/>
          <w:sz w:val="20"/>
          <w:szCs w:val="20"/>
        </w:rPr>
        <w:t xml:space="preserve"> and health consequences associate</w:t>
      </w:r>
      <w:r>
        <w:rPr>
          <w:rFonts w:ascii="Garamond" w:hAnsi="Garamond" w:cs="Times New Roman"/>
          <w:sz w:val="20"/>
          <w:szCs w:val="20"/>
        </w:rPr>
        <w:t>d with the disease of addiction</w:t>
      </w:r>
      <w:r w:rsidR="008E5433" w:rsidRPr="00244108">
        <w:rPr>
          <w:rFonts w:ascii="Garamond" w:hAnsi="Garamond" w:cs="Times New Roman"/>
          <w:sz w:val="20"/>
          <w:szCs w:val="20"/>
        </w:rPr>
        <w:t>. Fully-funded prevention activities reduce access to alcohol, tobacco, and drugs; change social attitudes</w:t>
      </w:r>
      <w:r w:rsidR="00E3792B" w:rsidRPr="00244108">
        <w:rPr>
          <w:rFonts w:ascii="Garamond" w:hAnsi="Garamond" w:cs="Times New Roman"/>
          <w:sz w:val="20"/>
          <w:szCs w:val="20"/>
        </w:rPr>
        <w:t>;</w:t>
      </w:r>
      <w:r w:rsidR="008E5433" w:rsidRPr="00244108">
        <w:rPr>
          <w:rFonts w:ascii="Garamond" w:hAnsi="Garamond" w:cs="Times New Roman"/>
          <w:sz w:val="20"/>
          <w:szCs w:val="20"/>
        </w:rPr>
        <w:t xml:space="preserve"> raise awareness about the consequences of substance </w:t>
      </w:r>
      <w:r w:rsidR="009A4643" w:rsidRPr="00244108">
        <w:rPr>
          <w:rFonts w:ascii="Garamond" w:hAnsi="Garamond" w:cs="Times New Roman"/>
          <w:sz w:val="20"/>
          <w:szCs w:val="20"/>
        </w:rPr>
        <w:t>use disorders</w:t>
      </w:r>
      <w:r w:rsidR="008E5433" w:rsidRPr="00244108">
        <w:rPr>
          <w:rFonts w:ascii="Garamond" w:hAnsi="Garamond" w:cs="Times New Roman"/>
          <w:sz w:val="20"/>
          <w:szCs w:val="20"/>
        </w:rPr>
        <w:t>; and build communities’ capacities to</w:t>
      </w:r>
      <w:r w:rsidR="00905275" w:rsidRPr="00244108">
        <w:rPr>
          <w:rFonts w:ascii="Garamond" w:hAnsi="Garamond" w:cs="Times New Roman"/>
          <w:sz w:val="20"/>
          <w:szCs w:val="20"/>
        </w:rPr>
        <w:t xml:space="preserve"> effectively</w:t>
      </w:r>
      <w:r w:rsidR="008E5433" w:rsidRPr="00244108">
        <w:rPr>
          <w:rFonts w:ascii="Garamond" w:hAnsi="Garamond" w:cs="Times New Roman"/>
          <w:sz w:val="20"/>
          <w:szCs w:val="20"/>
        </w:rPr>
        <w:t xml:space="preserve"> deal with </w:t>
      </w:r>
      <w:r w:rsidR="009A4643" w:rsidRPr="00244108">
        <w:rPr>
          <w:rFonts w:ascii="Garamond" w:hAnsi="Garamond" w:cs="Times New Roman"/>
          <w:sz w:val="20"/>
          <w:szCs w:val="20"/>
        </w:rPr>
        <w:t>addiction</w:t>
      </w:r>
      <w:r w:rsidR="008E5433" w:rsidRPr="00244108">
        <w:rPr>
          <w:rFonts w:ascii="Garamond" w:hAnsi="Garamond" w:cs="Times New Roman"/>
          <w:sz w:val="20"/>
          <w:szCs w:val="20"/>
        </w:rPr>
        <w:t>.</w:t>
      </w:r>
      <w:r w:rsidR="00BD336A" w:rsidRPr="00244108">
        <w:rPr>
          <w:rFonts w:ascii="Garamond" w:hAnsi="Garamond" w:cs="Times New Roman"/>
          <w:sz w:val="20"/>
          <w:szCs w:val="20"/>
        </w:rPr>
        <w:t xml:space="preserve"> </w:t>
      </w:r>
    </w:p>
    <w:p w14:paraId="3D8616A4" w14:textId="77777777" w:rsidR="00F23F50" w:rsidRPr="00244108" w:rsidRDefault="00F23F50" w:rsidP="00BA1481">
      <w:pPr>
        <w:rPr>
          <w:rFonts w:ascii="Garamond" w:hAnsi="Garamond" w:cs="Times New Roman"/>
          <w:sz w:val="18"/>
          <w:szCs w:val="18"/>
        </w:rPr>
      </w:pPr>
    </w:p>
    <w:p w14:paraId="5C1F712F" w14:textId="77777777" w:rsidR="00F23F50" w:rsidRPr="00244108" w:rsidRDefault="00F23F50" w:rsidP="00F23F50">
      <w:pPr>
        <w:tabs>
          <w:tab w:val="left" w:pos="2070"/>
        </w:tabs>
        <w:rPr>
          <w:rFonts w:ascii="Garamond" w:hAnsi="Garamond"/>
          <w:b/>
          <w:color w:val="5AA2AE" w:themeColor="accent5"/>
          <w:sz w:val="20"/>
          <w:szCs w:val="16"/>
        </w:rPr>
      </w:pPr>
      <w:r w:rsidRPr="00244108">
        <w:rPr>
          <w:rFonts w:ascii="Garamond" w:hAnsi="Garamond"/>
          <w:b/>
          <w:color w:val="5AA2AE" w:themeColor="accent5"/>
          <w:sz w:val="20"/>
          <w:szCs w:val="16"/>
        </w:rPr>
        <w:t>References</w:t>
      </w:r>
    </w:p>
    <w:p w14:paraId="3D460F96" w14:textId="77777777" w:rsidR="00021E7A" w:rsidRPr="00AF30E7" w:rsidRDefault="00021E7A" w:rsidP="00021E7A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12"/>
          <w:szCs w:val="12"/>
        </w:rPr>
      </w:pPr>
      <w:r w:rsidRPr="00AF30E7">
        <w:rPr>
          <w:rFonts w:ascii="Garamond" w:hAnsi="Garamond" w:cs="Times New Roman"/>
          <w:sz w:val="12"/>
          <w:szCs w:val="12"/>
        </w:rPr>
        <w:t xml:space="preserve">Substance Abuse and Mental health Services Administration (SAMHSA). </w:t>
      </w:r>
      <w:r w:rsidRPr="00AF30E7">
        <w:rPr>
          <w:rFonts w:ascii="Garamond" w:hAnsi="Garamond" w:cs="Times New Roman"/>
          <w:i/>
          <w:sz w:val="12"/>
          <w:szCs w:val="12"/>
        </w:rPr>
        <w:t xml:space="preserve">Substance Abuse Prevention and Treatment Block Grant. </w:t>
      </w:r>
      <w:r w:rsidRPr="00AF30E7">
        <w:rPr>
          <w:rFonts w:ascii="Garamond" w:hAnsi="Garamond" w:cs="Times New Roman"/>
          <w:sz w:val="12"/>
          <w:szCs w:val="12"/>
        </w:rPr>
        <w:t>Retrieved from http://www.samhsa.gov/grants/block-grants/sabg</w:t>
      </w:r>
      <w:r w:rsidRPr="00AF30E7">
        <w:rPr>
          <w:rStyle w:val="Hyperlink"/>
          <w:rFonts w:ascii="Garamond" w:hAnsi="Garamond" w:cs="Times New Roman"/>
          <w:color w:val="auto"/>
          <w:sz w:val="12"/>
          <w:szCs w:val="12"/>
          <w:u w:val="none"/>
        </w:rPr>
        <w:t>.</w:t>
      </w:r>
    </w:p>
    <w:p w14:paraId="43D0BC77" w14:textId="77777777" w:rsidR="00021E7A" w:rsidRPr="00AF30E7" w:rsidRDefault="00021E7A" w:rsidP="00021E7A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12"/>
          <w:szCs w:val="12"/>
        </w:rPr>
      </w:pPr>
      <w:r w:rsidRPr="00AF30E7">
        <w:rPr>
          <w:rFonts w:ascii="Garamond" w:hAnsi="Garamond" w:cs="Times New Roman"/>
          <w:sz w:val="12"/>
          <w:szCs w:val="12"/>
        </w:rPr>
        <w:t>SAMHSA.</w:t>
      </w:r>
      <w:r w:rsidRPr="00AF30E7">
        <w:rPr>
          <w:rFonts w:ascii="Garamond" w:hAnsi="Garamond" w:cs="Times New Roman"/>
          <w:i/>
          <w:sz w:val="12"/>
          <w:szCs w:val="12"/>
        </w:rPr>
        <w:t xml:space="preserve"> Substance Abuse Prevention and Treatment Block Grant Summary Reports. </w:t>
      </w:r>
      <w:r w:rsidRPr="00AF30E7">
        <w:rPr>
          <w:rFonts w:ascii="Garamond" w:hAnsi="Garamond" w:cs="Times New Roman"/>
          <w:sz w:val="12"/>
          <w:szCs w:val="12"/>
        </w:rPr>
        <w:t xml:space="preserve">Retrieved from the Web </w:t>
      </w:r>
      <w:r w:rsidRPr="00AF30E7">
        <w:rPr>
          <w:rFonts w:ascii="Garamond" w:hAnsi="Garamond"/>
          <w:sz w:val="12"/>
          <w:szCs w:val="12"/>
        </w:rPr>
        <w:t>Block Grant Application System (</w:t>
      </w:r>
      <w:proofErr w:type="spellStart"/>
      <w:r w:rsidRPr="00AF30E7">
        <w:rPr>
          <w:rFonts w:ascii="Garamond" w:hAnsi="Garamond"/>
          <w:sz w:val="12"/>
          <w:szCs w:val="12"/>
        </w:rPr>
        <w:t>WebBGAS</w:t>
      </w:r>
      <w:proofErr w:type="spellEnd"/>
      <w:r w:rsidRPr="00AF30E7">
        <w:rPr>
          <w:rFonts w:ascii="Garamond" w:hAnsi="Garamond"/>
          <w:sz w:val="12"/>
          <w:szCs w:val="12"/>
        </w:rPr>
        <w:t xml:space="preserve">), https://bgas.samhsa.gov. </w:t>
      </w:r>
    </w:p>
    <w:p w14:paraId="39DB0C4E" w14:textId="77777777" w:rsidR="00021E7A" w:rsidRPr="00AF30E7" w:rsidRDefault="00021E7A" w:rsidP="00021E7A">
      <w:pPr>
        <w:pStyle w:val="ListParagraph"/>
        <w:numPr>
          <w:ilvl w:val="0"/>
          <w:numId w:val="13"/>
        </w:numPr>
        <w:rPr>
          <w:rFonts w:ascii="Garamond" w:hAnsi="Garamond"/>
          <w:i/>
          <w:sz w:val="12"/>
          <w:szCs w:val="12"/>
        </w:rPr>
      </w:pPr>
      <w:r w:rsidRPr="00AF30E7">
        <w:rPr>
          <w:rFonts w:ascii="Garamond" w:hAnsi="Garamond"/>
          <w:sz w:val="12"/>
          <w:szCs w:val="12"/>
        </w:rPr>
        <w:t xml:space="preserve">SAMHSA. </w:t>
      </w:r>
      <w:r w:rsidRPr="00AF30E7">
        <w:rPr>
          <w:rFonts w:ascii="Garamond" w:hAnsi="Garamond"/>
          <w:i/>
          <w:sz w:val="12"/>
          <w:szCs w:val="12"/>
        </w:rPr>
        <w:t xml:space="preserve">Key Substance Use and Mental Health Indicators in the United States: Results from the 2015 National Survey on Drug Use and Health. </w:t>
      </w:r>
      <w:r w:rsidRPr="00AF30E7">
        <w:rPr>
          <w:rFonts w:ascii="Garamond" w:hAnsi="Garamond"/>
          <w:sz w:val="12"/>
          <w:szCs w:val="12"/>
        </w:rPr>
        <w:t xml:space="preserve">Retrieved from https://www.samhsa.gov/data/sites/default/files/NSDUH-FFR1-2015/NSDUH-FFR1-2015/NSDUH-FFR1-2015.htm#sudyr02 </w:t>
      </w:r>
    </w:p>
    <w:p w14:paraId="2373D578" w14:textId="77777777" w:rsidR="00021E7A" w:rsidRPr="00AF30E7" w:rsidRDefault="00021E7A" w:rsidP="00021E7A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12"/>
          <w:szCs w:val="12"/>
        </w:rPr>
      </w:pPr>
      <w:r w:rsidRPr="00AF30E7">
        <w:rPr>
          <w:rFonts w:ascii="Garamond" w:hAnsi="Garamond" w:cs="Times New Roman"/>
          <w:sz w:val="12"/>
          <w:szCs w:val="12"/>
        </w:rPr>
        <w:t xml:space="preserve">Centers for Disease Control and Prevention (CDC). </w:t>
      </w:r>
      <w:r w:rsidRPr="00AF30E7">
        <w:rPr>
          <w:rFonts w:ascii="Garamond" w:hAnsi="Garamond" w:cs="Times New Roman"/>
          <w:i/>
          <w:sz w:val="12"/>
          <w:szCs w:val="12"/>
        </w:rPr>
        <w:t xml:space="preserve">Contribution of Excessive Alcohol Consumption to Deaths and Years of Potential Life Lost in the United States. </w:t>
      </w:r>
      <w:r w:rsidRPr="00AF30E7">
        <w:rPr>
          <w:rFonts w:ascii="Garamond" w:hAnsi="Garamond" w:cs="Times New Roman"/>
          <w:sz w:val="12"/>
          <w:szCs w:val="12"/>
        </w:rPr>
        <w:t>Retrieved from http://www.cdc.gov/pcd/issues/2014/13_0293.htm</w:t>
      </w:r>
      <w:r w:rsidRPr="00AF30E7">
        <w:rPr>
          <w:rStyle w:val="Hyperlink"/>
          <w:rFonts w:ascii="Garamond" w:hAnsi="Garamond" w:cs="Times New Roman"/>
          <w:color w:val="auto"/>
          <w:sz w:val="12"/>
          <w:szCs w:val="12"/>
          <w:u w:val="none"/>
        </w:rPr>
        <w:t>.</w:t>
      </w:r>
    </w:p>
    <w:p w14:paraId="2DD11ADC" w14:textId="77777777" w:rsidR="00021E7A" w:rsidRPr="00AF30E7" w:rsidRDefault="00021E7A" w:rsidP="00021E7A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12"/>
          <w:szCs w:val="12"/>
        </w:rPr>
      </w:pPr>
      <w:r w:rsidRPr="00AF30E7">
        <w:rPr>
          <w:rFonts w:ascii="Garamond" w:hAnsi="Garamond" w:cs="Times New Roman"/>
          <w:sz w:val="12"/>
          <w:szCs w:val="12"/>
        </w:rPr>
        <w:t>Centers for Disease Control and Prevention, National Center for Health Statistics. Underlying Cause of Death 1999-2015 on CDC WONDER Online Database, released December, 2016. Data are from the Multiple Cause of Death Files, 1999-2015, as compiled from data provided by the 57 vital statistics jurisdictions through the Vital Statistics Cooperative Program. Accessed at http://wonder.cdc.gov/ucdicd10.html</w:t>
      </w:r>
    </w:p>
    <w:p w14:paraId="4A004196" w14:textId="77777777" w:rsidR="004D2A9C" w:rsidRPr="00AF30E7" w:rsidRDefault="00994658" w:rsidP="00021E7A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12"/>
          <w:szCs w:val="12"/>
        </w:rPr>
      </w:pPr>
      <w:r w:rsidRPr="00AF30E7">
        <w:rPr>
          <w:rFonts w:ascii="Garamond" w:hAnsi="Garamond" w:cs="Times New Roman"/>
          <w:sz w:val="12"/>
          <w:szCs w:val="12"/>
        </w:rPr>
        <w:t xml:space="preserve">Wadley, J. </w:t>
      </w:r>
      <w:r w:rsidR="008A6745" w:rsidRPr="00AF30E7">
        <w:rPr>
          <w:rFonts w:ascii="Garamond" w:hAnsi="Garamond" w:cs="Times New Roman"/>
          <w:sz w:val="12"/>
          <w:szCs w:val="12"/>
        </w:rPr>
        <w:t>and</w:t>
      </w:r>
      <w:r w:rsidRPr="00AF30E7">
        <w:rPr>
          <w:rFonts w:ascii="Garamond" w:hAnsi="Garamond" w:cs="Times New Roman"/>
          <w:sz w:val="12"/>
          <w:szCs w:val="12"/>
        </w:rPr>
        <w:t xml:space="preserve"> Lee, J.</w:t>
      </w:r>
      <w:r w:rsidR="002E149C" w:rsidRPr="00AF30E7">
        <w:rPr>
          <w:rFonts w:ascii="Garamond" w:hAnsi="Garamond" w:cs="Times New Roman"/>
          <w:sz w:val="12"/>
          <w:szCs w:val="12"/>
        </w:rPr>
        <w:t xml:space="preserve"> </w:t>
      </w:r>
      <w:r w:rsidR="002E149C" w:rsidRPr="00AF30E7">
        <w:rPr>
          <w:rFonts w:ascii="Garamond" w:hAnsi="Garamond" w:cs="Times New Roman"/>
          <w:i/>
          <w:sz w:val="12"/>
          <w:szCs w:val="12"/>
        </w:rPr>
        <w:t>"</w:t>
      </w:r>
      <w:r w:rsidRPr="00AF30E7">
        <w:rPr>
          <w:rFonts w:ascii="Garamond" w:hAnsi="Garamond" w:cs="Times New Roman"/>
          <w:i/>
          <w:sz w:val="12"/>
          <w:szCs w:val="12"/>
        </w:rPr>
        <w:t>Teen  use  of  any  illicit  drug  other  than  marijuana  at new  low,  same  true  for  alcohol.</w:t>
      </w:r>
      <w:r w:rsidR="002E149C" w:rsidRPr="00AF30E7">
        <w:rPr>
          <w:rFonts w:ascii="Garamond" w:hAnsi="Garamond" w:cs="Times New Roman"/>
          <w:i/>
          <w:sz w:val="12"/>
          <w:szCs w:val="12"/>
        </w:rPr>
        <w:t>"</w:t>
      </w:r>
      <w:r w:rsidR="002E149C" w:rsidRPr="00AF30E7">
        <w:rPr>
          <w:rFonts w:ascii="Garamond" w:hAnsi="Garamond" w:cs="Times New Roman"/>
          <w:sz w:val="12"/>
          <w:szCs w:val="12"/>
        </w:rPr>
        <w:t xml:space="preserve"> Retrieved from </w:t>
      </w:r>
      <w:r w:rsidRPr="00AF30E7">
        <w:rPr>
          <w:rFonts w:ascii="Garamond" w:hAnsi="Garamond"/>
          <w:sz w:val="12"/>
          <w:szCs w:val="12"/>
        </w:rPr>
        <w:t>http://www.monitoringthefuture.org/pressreleases/16drugpr_complete.pdf</w:t>
      </w:r>
      <w:r w:rsidR="00021E7A" w:rsidRPr="00AF30E7">
        <w:rPr>
          <w:rFonts w:ascii="Garamond" w:hAnsi="Garamond"/>
          <w:sz w:val="12"/>
          <w:szCs w:val="12"/>
        </w:rPr>
        <w:t>.</w:t>
      </w:r>
    </w:p>
    <w:p w14:paraId="06E10544" w14:textId="77777777" w:rsidR="009A03CA" w:rsidRPr="00AF30E7" w:rsidRDefault="0071788F" w:rsidP="0071788F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12"/>
          <w:szCs w:val="12"/>
        </w:rPr>
      </w:pPr>
      <w:r w:rsidRPr="00AF30E7">
        <w:rPr>
          <w:rFonts w:ascii="Garamond" w:hAnsi="Garamond" w:cs="Times New Roman"/>
          <w:sz w:val="12"/>
          <w:szCs w:val="12"/>
        </w:rPr>
        <w:t xml:space="preserve">U.S. Department of Health and Human Services. Surgeon General’s 2016 </w:t>
      </w:r>
      <w:r w:rsidRPr="00AF30E7">
        <w:rPr>
          <w:rFonts w:ascii="Garamond" w:hAnsi="Garamond" w:cs="Times New Roman"/>
          <w:i/>
          <w:sz w:val="12"/>
          <w:szCs w:val="12"/>
        </w:rPr>
        <w:t>Report on Alcohol, Drugs, and Health</w:t>
      </w:r>
      <w:r w:rsidRPr="00AF30E7">
        <w:rPr>
          <w:rFonts w:ascii="Garamond" w:hAnsi="Garamond" w:cs="Times New Roman"/>
          <w:sz w:val="12"/>
          <w:szCs w:val="12"/>
        </w:rPr>
        <w:t>. Retrieved from https://addiction.surgeongeneral.gov/surgeon-generals-report.pdf.</w:t>
      </w:r>
    </w:p>
    <w:p w14:paraId="0193B927" w14:textId="77777777" w:rsidR="009A23A5" w:rsidRPr="00AF30E7" w:rsidRDefault="008A6745" w:rsidP="00ED31F8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12"/>
          <w:szCs w:val="12"/>
        </w:rPr>
      </w:pPr>
      <w:r w:rsidRPr="00AF30E7">
        <w:rPr>
          <w:rFonts w:ascii="Garamond" w:hAnsi="Garamond" w:cs="Times New Roman"/>
          <w:sz w:val="12"/>
          <w:szCs w:val="12"/>
        </w:rPr>
        <w:t xml:space="preserve">SAMHSA. </w:t>
      </w:r>
      <w:r w:rsidRPr="00AF30E7">
        <w:rPr>
          <w:rFonts w:ascii="Garamond" w:hAnsi="Garamond" w:cs="Times New Roman"/>
          <w:i/>
          <w:sz w:val="12"/>
          <w:szCs w:val="12"/>
        </w:rPr>
        <w:t>Substance Abuse Prevention Dollars and Cents: A Cost-Benefit Analysis</w:t>
      </w:r>
      <w:r w:rsidRPr="00AF30E7">
        <w:rPr>
          <w:rFonts w:ascii="Garamond" w:hAnsi="Garamond" w:cs="Times New Roman"/>
          <w:sz w:val="12"/>
          <w:szCs w:val="12"/>
        </w:rPr>
        <w:t xml:space="preserve">, Retrieved from: http://www.samhsa.gov/sites/default/files/cost-benefits-prevention.pdf. </w:t>
      </w:r>
    </w:p>
    <w:p w14:paraId="1B32D088" w14:textId="77777777" w:rsidR="009A03CA" w:rsidRPr="00244108" w:rsidRDefault="009A03CA" w:rsidP="009A03CA">
      <w:pPr>
        <w:ind w:left="45"/>
        <w:rPr>
          <w:rFonts w:ascii="Garamond" w:hAnsi="Garamond" w:cs="Times New Roman"/>
          <w:sz w:val="16"/>
          <w:szCs w:val="16"/>
        </w:rPr>
      </w:pPr>
      <w:r w:rsidRPr="00244108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E2E5" wp14:editId="0F883987">
                <wp:simplePos x="0" y="0"/>
                <wp:positionH relativeFrom="column">
                  <wp:posOffset>-32385</wp:posOffset>
                </wp:positionH>
                <wp:positionV relativeFrom="paragraph">
                  <wp:posOffset>120472</wp:posOffset>
                </wp:positionV>
                <wp:extent cx="6927215" cy="504749"/>
                <wp:effectExtent l="95250" t="38100" r="64135" b="1054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107FD8" w14:textId="77777777" w:rsidR="00033852" w:rsidRPr="00244108" w:rsidRDefault="00033852" w:rsidP="00F24C1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NASADAD Contact Information:</w:t>
                            </w: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Robert Morrison, Executive Director, (202)293-0090 or </w:t>
                            </w:r>
                            <w:hyperlink r:id="rId11" w:history="1">
                              <w:r w:rsidRPr="00244108">
                                <w:rPr>
                                  <w:rStyle w:val="Hyperlink"/>
                                  <w:rFonts w:ascii="Garamond" w:hAnsi="Garamond"/>
                                  <w:color w:val="374C80" w:themeColor="accent4" w:themeShade="BF"/>
                                  <w:sz w:val="18"/>
                                  <w:szCs w:val="18"/>
                                </w:rPr>
                                <w:t>rmorrison@nasadad.org</w:t>
                              </w:r>
                            </w:hyperlink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05408F" w14:textId="77777777" w:rsidR="00E224E2" w:rsidRPr="00244108" w:rsidRDefault="00E224E2" w:rsidP="00E224E2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Shalini Wickramatilake-Templeman, </w:t>
                            </w:r>
                            <w:r w:rsidR="0085623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Federal Affairs Manager</w:t>
                            </w: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, (202) 293-0090 or </w:t>
                            </w:r>
                            <w:hyperlink r:id="rId12" w:history="1">
                              <w:r w:rsidRPr="00244108">
                                <w:rPr>
                                  <w:rStyle w:val="Hyperlink"/>
                                  <w:rFonts w:ascii="Garamond" w:hAnsi="Garamond"/>
                                  <w:color w:val="374C80" w:themeColor="accent4" w:themeShade="BF"/>
                                  <w:sz w:val="18"/>
                                  <w:szCs w:val="18"/>
                                </w:rPr>
                                <w:t>swickramatilake@nasadad.org</w:t>
                              </w:r>
                            </w:hyperlink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8A858A" w14:textId="77777777" w:rsidR="00472931" w:rsidRPr="00244108" w:rsidRDefault="009C6963" w:rsidP="00753A65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Special thanks to </w:t>
                            </w:r>
                            <w:r w:rsidR="00810B2C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Rick Harwood</w:t>
                            </w:r>
                            <w:r w:rsidR="0085623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, Director of Research and Program Applications,</w:t>
                            </w:r>
                            <w:r w:rsidR="00810B2C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2931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85623A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his</w:t>
                            </w:r>
                            <w:r w:rsidR="00472931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B22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important </w:t>
                            </w:r>
                            <w:r w:rsidR="00810B2C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contribution</w:t>
                            </w:r>
                            <w:r w:rsidR="004370AF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</w:t>
                            </w:r>
                            <w:r w:rsidR="00810B2C" w:rsidRPr="0024410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to this fact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E2E5" id="_x0000_s1029" type="#_x0000_t202" style="position:absolute;left:0;text-align:left;margin-left:-2.55pt;margin-top:9.5pt;width:545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" strokecolor="#5aa2ae [3208]">
                <v:shadow on="t" color="black" opacity="26214f" origin=".5,-.5" offset="-.74836mm,.74836mm"/>
                <v:textbox>
                  <w:txbxContent>
                    <w:p w14:paraId="14107FD8" w14:textId="77777777" w:rsidR="00033852" w:rsidRPr="00244108" w:rsidRDefault="00033852" w:rsidP="00F24C1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24410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NASADAD Contact Information:</w:t>
                      </w: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Robert Morrison, Executive Director, (202)293-0090 or </w:t>
                      </w:r>
                      <w:hyperlink r:id="rId13" w:history="1">
                        <w:r w:rsidRPr="00244108">
                          <w:rPr>
                            <w:rStyle w:val="Hyperlink"/>
                            <w:rFonts w:ascii="Garamond" w:hAnsi="Garamond"/>
                            <w:color w:val="374C80" w:themeColor="accent4" w:themeShade="BF"/>
                            <w:sz w:val="18"/>
                            <w:szCs w:val="18"/>
                          </w:rPr>
                          <w:t>rmorrison@nasadad.org</w:t>
                        </w:r>
                      </w:hyperlink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.</w:t>
                      </w:r>
                    </w:p>
                    <w:p w14:paraId="5805408F" w14:textId="77777777" w:rsidR="00E224E2" w:rsidRPr="00244108" w:rsidRDefault="00E224E2" w:rsidP="00E224E2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Shalini Wickramatilake-Templeman, </w:t>
                      </w:r>
                      <w:r w:rsidR="0085623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Federal Affairs Manager</w:t>
                      </w: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, (202) 293-0090 or </w:t>
                      </w:r>
                      <w:hyperlink r:id="rId14" w:history="1">
                        <w:r w:rsidRPr="00244108">
                          <w:rPr>
                            <w:rStyle w:val="Hyperlink"/>
                            <w:rFonts w:ascii="Garamond" w:hAnsi="Garamond"/>
                            <w:color w:val="374C80" w:themeColor="accent4" w:themeShade="BF"/>
                            <w:sz w:val="18"/>
                            <w:szCs w:val="18"/>
                          </w:rPr>
                          <w:t>swickramatilake@nasadad.org</w:t>
                        </w:r>
                      </w:hyperlink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.</w:t>
                      </w:r>
                    </w:p>
                    <w:p w14:paraId="5C8A858A" w14:textId="77777777" w:rsidR="00472931" w:rsidRPr="00244108" w:rsidRDefault="009C6963" w:rsidP="00753A65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Special thanks to </w:t>
                      </w:r>
                      <w:r w:rsidR="00810B2C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Rick Harwood</w:t>
                      </w:r>
                      <w:r w:rsidR="0085623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, Director of Research and Program Applications,</w:t>
                      </w:r>
                      <w:r w:rsidR="00810B2C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72931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for </w:t>
                      </w:r>
                      <w:r w:rsidR="0085623A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his</w:t>
                      </w:r>
                      <w:r w:rsidR="00472931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987B22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important </w:t>
                      </w:r>
                      <w:r w:rsidR="00810B2C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contribution</w:t>
                      </w:r>
                      <w:r w:rsidR="004370AF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>s</w:t>
                      </w:r>
                      <w:r w:rsidR="00810B2C" w:rsidRPr="0024410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to this fact sheet.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3CA" w:rsidRPr="00244108" w:rsidSect="00CF71D3">
      <w:headerReference w:type="default" r:id="rId15"/>
      <w:footerReference w:type="even" r:id="rId1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EC84" w14:textId="77777777" w:rsidR="00153208" w:rsidRDefault="00153208" w:rsidP="00513F83">
      <w:r>
        <w:separator/>
      </w:r>
    </w:p>
  </w:endnote>
  <w:endnote w:type="continuationSeparator" w:id="0">
    <w:p w14:paraId="5FF85420" w14:textId="77777777" w:rsidR="00153208" w:rsidRDefault="00153208" w:rsidP="0051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32BA" w14:textId="77777777" w:rsidR="00033852" w:rsidRDefault="00033852">
    <w:pPr>
      <w:pStyle w:val="Footer"/>
      <w:jc w:val="right"/>
    </w:pPr>
  </w:p>
  <w:p w14:paraId="3761D5C6" w14:textId="77777777" w:rsidR="00033852" w:rsidRDefault="0003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53E1C" w14:textId="77777777" w:rsidR="00153208" w:rsidRDefault="00153208" w:rsidP="00513F83">
      <w:r>
        <w:separator/>
      </w:r>
    </w:p>
  </w:footnote>
  <w:footnote w:type="continuationSeparator" w:id="0">
    <w:p w14:paraId="5AA27825" w14:textId="77777777" w:rsidR="00153208" w:rsidRDefault="00153208" w:rsidP="0051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429EE" w14:textId="6E5E6937" w:rsidR="00033852" w:rsidRDefault="00033852" w:rsidP="00FB32D7">
    <w:pPr>
      <w:pStyle w:val="Header"/>
      <w:jc w:val="right"/>
      <w:rPr>
        <w:rStyle w:val="IntenseEmphasis"/>
        <w:rFonts w:asciiTheme="majorHAnsi" w:hAnsiTheme="majorHAnsi"/>
        <w:b w:val="0"/>
        <w:color w:val="072B62" w:themeColor="background2" w:themeShade="40"/>
        <w:sz w:val="18"/>
        <w:szCs w:val="18"/>
      </w:rPr>
    </w:pPr>
    <w:r>
      <w:rPr>
        <w:b/>
        <w:bCs/>
        <w:i/>
        <w:iCs/>
        <w:noProof/>
        <w:color w:val="629DD1" w:themeColor="accent1"/>
      </w:rPr>
      <w:drawing>
        <wp:inline distT="0" distB="0" distL="0" distR="0" wp14:anchorId="1209C892" wp14:editId="1C603D31">
          <wp:extent cx="3323492" cy="419028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D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94" r="2410" b="16340"/>
                  <a:stretch/>
                </pic:blipFill>
                <pic:spPr bwMode="auto">
                  <a:xfrm>
                    <a:off x="0" y="0"/>
                    <a:ext cx="332406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IntenseEmphasis"/>
        <w:rFonts w:asciiTheme="majorHAnsi" w:hAnsiTheme="majorHAnsi"/>
        <w:color w:val="297FD5" w:themeColor="accent2"/>
      </w:rPr>
      <w:t xml:space="preserve">                                                   </w:t>
    </w:r>
    <w:r w:rsidR="00614B55">
      <w:rPr>
        <w:rStyle w:val="IntenseEmphasis"/>
        <w:rFonts w:asciiTheme="majorHAnsi" w:hAnsiTheme="majorHAnsi"/>
        <w:color w:val="297FD5" w:themeColor="accent2"/>
      </w:rPr>
      <w:t xml:space="preserve">                             </w:t>
    </w:r>
    <w:r>
      <w:rPr>
        <w:rStyle w:val="IntenseEmphasis"/>
        <w:rFonts w:asciiTheme="majorHAnsi" w:hAnsiTheme="majorHAnsi"/>
        <w:color w:val="297FD5" w:themeColor="accent2"/>
      </w:rPr>
      <w:t xml:space="preserve"> </w:t>
    </w:r>
    <w:r w:rsidR="002C0D6D">
      <w:rPr>
        <w:rStyle w:val="IntenseEmphasis"/>
        <w:rFonts w:asciiTheme="majorHAnsi" w:hAnsiTheme="majorHAnsi"/>
        <w:color w:val="297FD5" w:themeColor="accent2"/>
      </w:rPr>
      <w:t xml:space="preserve">   </w:t>
    </w:r>
    <w:r w:rsidR="00265434" w:rsidRPr="00265434">
      <w:rPr>
        <w:rStyle w:val="IntenseEmphasis"/>
        <w:rFonts w:asciiTheme="majorHAnsi" w:hAnsiTheme="majorHAnsi"/>
        <w:i w:val="0"/>
        <w:color w:val="5AA2AE" w:themeColor="accent5"/>
      </w:rPr>
      <w:t>May</w:t>
    </w:r>
    <w:r w:rsidR="009A4643" w:rsidRPr="00265434">
      <w:rPr>
        <w:rStyle w:val="IntenseEmphasis"/>
        <w:rFonts w:asciiTheme="majorHAnsi" w:hAnsiTheme="majorHAnsi"/>
        <w:i w:val="0"/>
        <w:color w:val="5AA2AE" w:themeColor="accent5"/>
      </w:rPr>
      <w:t xml:space="preserve"> 2017</w:t>
    </w:r>
    <w:r>
      <w:rPr>
        <w:rStyle w:val="IntenseEmphasis"/>
        <w:rFonts w:asciiTheme="majorHAnsi" w:hAnsiTheme="majorHAnsi"/>
        <w:b w:val="0"/>
        <w:color w:val="072B62" w:themeColor="background2" w:themeShade="40"/>
        <w:sz w:val="18"/>
        <w:szCs w:val="18"/>
      </w:rPr>
      <w:t xml:space="preserve"> </w:t>
    </w:r>
  </w:p>
  <w:p w14:paraId="2CE97092" w14:textId="18E6FFA6" w:rsidR="00033852" w:rsidRPr="007E1C64" w:rsidRDefault="0075661C" w:rsidP="007E1C64">
    <w:pPr>
      <w:pStyle w:val="Header"/>
      <w:jc w:val="center"/>
      <w:rPr>
        <w:rStyle w:val="IntenseEmphasis"/>
        <w:rFonts w:ascii="Garamond" w:hAnsi="Garamond"/>
        <w:i w:val="0"/>
        <w:color w:val="417A84" w:themeColor="accent5" w:themeShade="BF"/>
      </w:rPr>
    </w:pPr>
    <w:r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>1919 Pennsylvania</w:t>
    </w:r>
    <w:r w:rsidR="00033852"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 xml:space="preserve"> Ave</w:t>
    </w:r>
    <w:r w:rsidR="004B0EB0"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>nue,</w:t>
    </w:r>
    <w:r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 xml:space="preserve"> NW, M-250</w:t>
    </w:r>
    <w:r w:rsid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 xml:space="preserve"> </w:t>
    </w:r>
    <w:r w:rsidR="00033852"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>• Washington, DC 200</w:t>
    </w:r>
    <w:r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>0</w:t>
    </w:r>
    <w:r w:rsidR="004B0EB0"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>6 • T: 202-293-0090 • F: 202-</w:t>
    </w:r>
    <w:r w:rsidR="00033852" w:rsidRPr="007E1C64">
      <w:rPr>
        <w:rStyle w:val="IntenseEmphasis"/>
        <w:rFonts w:ascii="Garamond" w:hAnsi="Garamond"/>
        <w:b w:val="0"/>
        <w:i w:val="0"/>
        <w:color w:val="417A84" w:themeColor="accent5" w:themeShade="BF"/>
        <w:sz w:val="18"/>
        <w:szCs w:val="18"/>
      </w:rPr>
      <w:t xml:space="preserve">293-1250 • Website: </w:t>
    </w:r>
    <w:hyperlink r:id="rId2" w:history="1">
      <w:r w:rsidR="00033852" w:rsidRPr="007E1C64">
        <w:rPr>
          <w:rStyle w:val="Hyperlink"/>
          <w:rFonts w:ascii="Garamond" w:hAnsi="Garamond"/>
          <w:color w:val="417A84" w:themeColor="accent5" w:themeShade="BF"/>
          <w:sz w:val="18"/>
          <w:szCs w:val="18"/>
          <w:u w:val="none"/>
        </w:rPr>
        <w:t>www.nasadad.org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EC9"/>
    <w:multiLevelType w:val="hybridMultilevel"/>
    <w:tmpl w:val="B60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A7C"/>
    <w:multiLevelType w:val="hybridMultilevel"/>
    <w:tmpl w:val="6452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79C"/>
    <w:multiLevelType w:val="hybridMultilevel"/>
    <w:tmpl w:val="7F8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143B"/>
    <w:multiLevelType w:val="hybridMultilevel"/>
    <w:tmpl w:val="B6AED730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 w15:restartNumberingAfterBreak="0">
    <w:nsid w:val="15726F74"/>
    <w:multiLevelType w:val="hybridMultilevel"/>
    <w:tmpl w:val="2DB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70C"/>
    <w:multiLevelType w:val="hybridMultilevel"/>
    <w:tmpl w:val="2870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6270"/>
    <w:multiLevelType w:val="hybridMultilevel"/>
    <w:tmpl w:val="82B0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65DD"/>
    <w:multiLevelType w:val="hybridMultilevel"/>
    <w:tmpl w:val="3224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5FE0"/>
    <w:multiLevelType w:val="hybridMultilevel"/>
    <w:tmpl w:val="997828CA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9" w15:restartNumberingAfterBreak="0">
    <w:nsid w:val="45521DC3"/>
    <w:multiLevelType w:val="hybridMultilevel"/>
    <w:tmpl w:val="BB3C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350F"/>
    <w:multiLevelType w:val="hybridMultilevel"/>
    <w:tmpl w:val="75D28D2C"/>
    <w:lvl w:ilvl="0" w:tplc="7DDE30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22790"/>
    <w:multiLevelType w:val="hybridMultilevel"/>
    <w:tmpl w:val="789A3192"/>
    <w:lvl w:ilvl="0" w:tplc="3EB2B8E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325EF"/>
    <w:multiLevelType w:val="hybridMultilevel"/>
    <w:tmpl w:val="DC5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73F80"/>
    <w:multiLevelType w:val="hybridMultilevel"/>
    <w:tmpl w:val="5A26E26C"/>
    <w:lvl w:ilvl="0" w:tplc="7DDE30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D4F98"/>
    <w:multiLevelType w:val="hybridMultilevel"/>
    <w:tmpl w:val="A31E513A"/>
    <w:lvl w:ilvl="0" w:tplc="7DDE30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33C"/>
    <w:multiLevelType w:val="hybridMultilevel"/>
    <w:tmpl w:val="F2A2FAB0"/>
    <w:lvl w:ilvl="0" w:tplc="C0F03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B7229"/>
    <w:multiLevelType w:val="hybridMultilevel"/>
    <w:tmpl w:val="32F8D8CE"/>
    <w:lvl w:ilvl="0" w:tplc="F17CE8D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AF921DA"/>
    <w:multiLevelType w:val="hybridMultilevel"/>
    <w:tmpl w:val="D9D2E548"/>
    <w:lvl w:ilvl="0" w:tplc="7DDE30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16D"/>
    <w:multiLevelType w:val="hybridMultilevel"/>
    <w:tmpl w:val="CB6803E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9" w15:restartNumberingAfterBreak="0">
    <w:nsid w:val="71800E3C"/>
    <w:multiLevelType w:val="hybridMultilevel"/>
    <w:tmpl w:val="AE6A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D0058E"/>
    <w:multiLevelType w:val="hybridMultilevel"/>
    <w:tmpl w:val="8FEA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880853"/>
    <w:multiLevelType w:val="hybridMultilevel"/>
    <w:tmpl w:val="F9FE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5"/>
  </w:num>
  <w:num w:numId="5">
    <w:abstractNumId w:val="13"/>
  </w:num>
  <w:num w:numId="6">
    <w:abstractNumId w:val="18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20"/>
  </w:num>
  <w:num w:numId="13">
    <w:abstractNumId w:val="16"/>
  </w:num>
  <w:num w:numId="14">
    <w:abstractNumId w:val="9"/>
  </w:num>
  <w:num w:numId="15">
    <w:abstractNumId w:val="21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7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83"/>
    <w:rsid w:val="000009B3"/>
    <w:rsid w:val="000039F8"/>
    <w:rsid w:val="00011BEF"/>
    <w:rsid w:val="000204DC"/>
    <w:rsid w:val="00021E7A"/>
    <w:rsid w:val="0002412F"/>
    <w:rsid w:val="00030103"/>
    <w:rsid w:val="00030220"/>
    <w:rsid w:val="000323DD"/>
    <w:rsid w:val="00032888"/>
    <w:rsid w:val="00033852"/>
    <w:rsid w:val="0003721F"/>
    <w:rsid w:val="00045823"/>
    <w:rsid w:val="000469BC"/>
    <w:rsid w:val="00054DF6"/>
    <w:rsid w:val="00057E25"/>
    <w:rsid w:val="00061461"/>
    <w:rsid w:val="000660A4"/>
    <w:rsid w:val="0006665F"/>
    <w:rsid w:val="00067F89"/>
    <w:rsid w:val="000876D0"/>
    <w:rsid w:val="0009016A"/>
    <w:rsid w:val="00091773"/>
    <w:rsid w:val="000A5016"/>
    <w:rsid w:val="000B3D87"/>
    <w:rsid w:val="000B700F"/>
    <w:rsid w:val="000C6EBE"/>
    <w:rsid w:val="000E2671"/>
    <w:rsid w:val="000E5951"/>
    <w:rsid w:val="000E7A1E"/>
    <w:rsid w:val="000F500E"/>
    <w:rsid w:val="000F672B"/>
    <w:rsid w:val="00104B27"/>
    <w:rsid w:val="0010754F"/>
    <w:rsid w:val="00110546"/>
    <w:rsid w:val="0014717A"/>
    <w:rsid w:val="00153208"/>
    <w:rsid w:val="00155261"/>
    <w:rsid w:val="00161A6E"/>
    <w:rsid w:val="00161ECE"/>
    <w:rsid w:val="001725C1"/>
    <w:rsid w:val="001771D7"/>
    <w:rsid w:val="001775A7"/>
    <w:rsid w:val="00185E7D"/>
    <w:rsid w:val="00191DEB"/>
    <w:rsid w:val="00193D14"/>
    <w:rsid w:val="00196625"/>
    <w:rsid w:val="00197538"/>
    <w:rsid w:val="001A1275"/>
    <w:rsid w:val="001B3E96"/>
    <w:rsid w:val="001C6E06"/>
    <w:rsid w:val="001D3B60"/>
    <w:rsid w:val="001D4714"/>
    <w:rsid w:val="001F1A05"/>
    <w:rsid w:val="00213E6F"/>
    <w:rsid w:val="0022001D"/>
    <w:rsid w:val="002276B7"/>
    <w:rsid w:val="00242517"/>
    <w:rsid w:val="00244108"/>
    <w:rsid w:val="00244574"/>
    <w:rsid w:val="0024679C"/>
    <w:rsid w:val="00247482"/>
    <w:rsid w:val="00256DA5"/>
    <w:rsid w:val="002608E8"/>
    <w:rsid w:val="00265434"/>
    <w:rsid w:val="00286185"/>
    <w:rsid w:val="00294906"/>
    <w:rsid w:val="002A169B"/>
    <w:rsid w:val="002A6E66"/>
    <w:rsid w:val="002A6E75"/>
    <w:rsid w:val="002B3756"/>
    <w:rsid w:val="002B3AFA"/>
    <w:rsid w:val="002C0300"/>
    <w:rsid w:val="002C0D6D"/>
    <w:rsid w:val="002C2983"/>
    <w:rsid w:val="002E149C"/>
    <w:rsid w:val="002F4E26"/>
    <w:rsid w:val="00312891"/>
    <w:rsid w:val="00321822"/>
    <w:rsid w:val="003239E8"/>
    <w:rsid w:val="003253FB"/>
    <w:rsid w:val="003257E2"/>
    <w:rsid w:val="0032636D"/>
    <w:rsid w:val="00334026"/>
    <w:rsid w:val="003411A0"/>
    <w:rsid w:val="00344AAE"/>
    <w:rsid w:val="00345D06"/>
    <w:rsid w:val="00346286"/>
    <w:rsid w:val="00356FCD"/>
    <w:rsid w:val="003613BD"/>
    <w:rsid w:val="00362CF2"/>
    <w:rsid w:val="0036536D"/>
    <w:rsid w:val="0036571E"/>
    <w:rsid w:val="00372001"/>
    <w:rsid w:val="00372394"/>
    <w:rsid w:val="003A1C65"/>
    <w:rsid w:val="003B0059"/>
    <w:rsid w:val="003B1171"/>
    <w:rsid w:val="003B14BC"/>
    <w:rsid w:val="003B1BDD"/>
    <w:rsid w:val="003C000B"/>
    <w:rsid w:val="003C3457"/>
    <w:rsid w:val="003C527A"/>
    <w:rsid w:val="003E14FA"/>
    <w:rsid w:val="003E450B"/>
    <w:rsid w:val="003F6B72"/>
    <w:rsid w:val="00401C38"/>
    <w:rsid w:val="00405C79"/>
    <w:rsid w:val="004370AF"/>
    <w:rsid w:val="00437DF8"/>
    <w:rsid w:val="00450F55"/>
    <w:rsid w:val="00472931"/>
    <w:rsid w:val="004803E3"/>
    <w:rsid w:val="0048198D"/>
    <w:rsid w:val="004973E4"/>
    <w:rsid w:val="004A4160"/>
    <w:rsid w:val="004B0EB0"/>
    <w:rsid w:val="004B2BD0"/>
    <w:rsid w:val="004B3253"/>
    <w:rsid w:val="004B5A3C"/>
    <w:rsid w:val="004D0A7D"/>
    <w:rsid w:val="004D2A66"/>
    <w:rsid w:val="004D2A9C"/>
    <w:rsid w:val="004E1278"/>
    <w:rsid w:val="004E17B9"/>
    <w:rsid w:val="004F2919"/>
    <w:rsid w:val="004F4246"/>
    <w:rsid w:val="005042DD"/>
    <w:rsid w:val="005045AB"/>
    <w:rsid w:val="00506285"/>
    <w:rsid w:val="00513F83"/>
    <w:rsid w:val="0051589D"/>
    <w:rsid w:val="0052168F"/>
    <w:rsid w:val="0052540C"/>
    <w:rsid w:val="005255E3"/>
    <w:rsid w:val="00527E09"/>
    <w:rsid w:val="0053326D"/>
    <w:rsid w:val="005461C3"/>
    <w:rsid w:val="005523E6"/>
    <w:rsid w:val="00553038"/>
    <w:rsid w:val="0055741C"/>
    <w:rsid w:val="00557FD9"/>
    <w:rsid w:val="0057026B"/>
    <w:rsid w:val="005772FD"/>
    <w:rsid w:val="00583900"/>
    <w:rsid w:val="005924EE"/>
    <w:rsid w:val="00594A6D"/>
    <w:rsid w:val="00597500"/>
    <w:rsid w:val="005A7895"/>
    <w:rsid w:val="005B5B65"/>
    <w:rsid w:val="005D62CA"/>
    <w:rsid w:val="00613A74"/>
    <w:rsid w:val="00614B55"/>
    <w:rsid w:val="006267DA"/>
    <w:rsid w:val="00636401"/>
    <w:rsid w:val="006370DF"/>
    <w:rsid w:val="00643597"/>
    <w:rsid w:val="00656150"/>
    <w:rsid w:val="0066660C"/>
    <w:rsid w:val="00672580"/>
    <w:rsid w:val="00675300"/>
    <w:rsid w:val="0067704B"/>
    <w:rsid w:val="006774EB"/>
    <w:rsid w:val="006779B4"/>
    <w:rsid w:val="0068294E"/>
    <w:rsid w:val="0068453C"/>
    <w:rsid w:val="006862B1"/>
    <w:rsid w:val="00697405"/>
    <w:rsid w:val="00697C15"/>
    <w:rsid w:val="006A7DF8"/>
    <w:rsid w:val="006B58ED"/>
    <w:rsid w:val="006B79FC"/>
    <w:rsid w:val="006C6CDE"/>
    <w:rsid w:val="006D27E5"/>
    <w:rsid w:val="006D2C47"/>
    <w:rsid w:val="006D4240"/>
    <w:rsid w:val="006E2C07"/>
    <w:rsid w:val="006F07A9"/>
    <w:rsid w:val="006F1641"/>
    <w:rsid w:val="006F545C"/>
    <w:rsid w:val="006F7FAF"/>
    <w:rsid w:val="00715F18"/>
    <w:rsid w:val="007172C0"/>
    <w:rsid w:val="0071788F"/>
    <w:rsid w:val="0072165C"/>
    <w:rsid w:val="00723B23"/>
    <w:rsid w:val="007245A3"/>
    <w:rsid w:val="007301AE"/>
    <w:rsid w:val="00736A76"/>
    <w:rsid w:val="00737BCF"/>
    <w:rsid w:val="00746FAD"/>
    <w:rsid w:val="00753A65"/>
    <w:rsid w:val="00755F67"/>
    <w:rsid w:val="0075661C"/>
    <w:rsid w:val="007620E4"/>
    <w:rsid w:val="007672DB"/>
    <w:rsid w:val="007754D7"/>
    <w:rsid w:val="00785A0C"/>
    <w:rsid w:val="007862CB"/>
    <w:rsid w:val="0078708B"/>
    <w:rsid w:val="00790231"/>
    <w:rsid w:val="007A0E92"/>
    <w:rsid w:val="007C1240"/>
    <w:rsid w:val="007C3969"/>
    <w:rsid w:val="007D0950"/>
    <w:rsid w:val="007E1C64"/>
    <w:rsid w:val="007E24AF"/>
    <w:rsid w:val="007E5B74"/>
    <w:rsid w:val="007E6A81"/>
    <w:rsid w:val="007E7FE6"/>
    <w:rsid w:val="007F0D50"/>
    <w:rsid w:val="007F0FE7"/>
    <w:rsid w:val="007F2354"/>
    <w:rsid w:val="007F324B"/>
    <w:rsid w:val="0080662F"/>
    <w:rsid w:val="0080701D"/>
    <w:rsid w:val="00810B2C"/>
    <w:rsid w:val="00823253"/>
    <w:rsid w:val="008266BF"/>
    <w:rsid w:val="0085623A"/>
    <w:rsid w:val="00857A18"/>
    <w:rsid w:val="00860F34"/>
    <w:rsid w:val="00883476"/>
    <w:rsid w:val="008871F9"/>
    <w:rsid w:val="0089019B"/>
    <w:rsid w:val="008931BC"/>
    <w:rsid w:val="00894311"/>
    <w:rsid w:val="008969ED"/>
    <w:rsid w:val="008A6745"/>
    <w:rsid w:val="008A7249"/>
    <w:rsid w:val="008C0425"/>
    <w:rsid w:val="008C196D"/>
    <w:rsid w:val="008C1C65"/>
    <w:rsid w:val="008C6A0D"/>
    <w:rsid w:val="008D064C"/>
    <w:rsid w:val="008D07E3"/>
    <w:rsid w:val="008D5AAB"/>
    <w:rsid w:val="008E1E37"/>
    <w:rsid w:val="008E3065"/>
    <w:rsid w:val="008E5433"/>
    <w:rsid w:val="008F1BD2"/>
    <w:rsid w:val="008F5A1C"/>
    <w:rsid w:val="00900BA0"/>
    <w:rsid w:val="00905275"/>
    <w:rsid w:val="009134D2"/>
    <w:rsid w:val="00914DA9"/>
    <w:rsid w:val="00927AA5"/>
    <w:rsid w:val="00927AE4"/>
    <w:rsid w:val="00933F63"/>
    <w:rsid w:val="0094510C"/>
    <w:rsid w:val="00960924"/>
    <w:rsid w:val="00970BB8"/>
    <w:rsid w:val="00987B22"/>
    <w:rsid w:val="00994658"/>
    <w:rsid w:val="009A03CA"/>
    <w:rsid w:val="009A04B9"/>
    <w:rsid w:val="009A23A5"/>
    <w:rsid w:val="009A4643"/>
    <w:rsid w:val="009B05D4"/>
    <w:rsid w:val="009B25A9"/>
    <w:rsid w:val="009B7936"/>
    <w:rsid w:val="009C2399"/>
    <w:rsid w:val="009C6963"/>
    <w:rsid w:val="009D09D5"/>
    <w:rsid w:val="009D7016"/>
    <w:rsid w:val="009E270E"/>
    <w:rsid w:val="009E28BC"/>
    <w:rsid w:val="009E3158"/>
    <w:rsid w:val="009E6B87"/>
    <w:rsid w:val="009F62E6"/>
    <w:rsid w:val="00A0212A"/>
    <w:rsid w:val="00A026B2"/>
    <w:rsid w:val="00A21A4A"/>
    <w:rsid w:val="00A22853"/>
    <w:rsid w:val="00A24A6B"/>
    <w:rsid w:val="00A2516A"/>
    <w:rsid w:val="00A26493"/>
    <w:rsid w:val="00A267C4"/>
    <w:rsid w:val="00A32C5C"/>
    <w:rsid w:val="00A36E7D"/>
    <w:rsid w:val="00A36E84"/>
    <w:rsid w:val="00A43AA6"/>
    <w:rsid w:val="00A54277"/>
    <w:rsid w:val="00A7041D"/>
    <w:rsid w:val="00A721F5"/>
    <w:rsid w:val="00A73312"/>
    <w:rsid w:val="00A76EFC"/>
    <w:rsid w:val="00A85E77"/>
    <w:rsid w:val="00A9294E"/>
    <w:rsid w:val="00A956DD"/>
    <w:rsid w:val="00A9722C"/>
    <w:rsid w:val="00AA0E7E"/>
    <w:rsid w:val="00AB0A90"/>
    <w:rsid w:val="00AD1FEE"/>
    <w:rsid w:val="00AD26FA"/>
    <w:rsid w:val="00AD6228"/>
    <w:rsid w:val="00AE07DA"/>
    <w:rsid w:val="00AF11C2"/>
    <w:rsid w:val="00AF14E2"/>
    <w:rsid w:val="00AF30E7"/>
    <w:rsid w:val="00AF4DC9"/>
    <w:rsid w:val="00B071F5"/>
    <w:rsid w:val="00B11AAC"/>
    <w:rsid w:val="00B11BD3"/>
    <w:rsid w:val="00B17B6E"/>
    <w:rsid w:val="00B23FC0"/>
    <w:rsid w:val="00B24BB4"/>
    <w:rsid w:val="00B50B0C"/>
    <w:rsid w:val="00B5435A"/>
    <w:rsid w:val="00B619E3"/>
    <w:rsid w:val="00B6439C"/>
    <w:rsid w:val="00B64ED1"/>
    <w:rsid w:val="00B657D6"/>
    <w:rsid w:val="00B6731C"/>
    <w:rsid w:val="00B877D3"/>
    <w:rsid w:val="00BA1481"/>
    <w:rsid w:val="00BC28E5"/>
    <w:rsid w:val="00BC47CC"/>
    <w:rsid w:val="00BC65A4"/>
    <w:rsid w:val="00BD2DE2"/>
    <w:rsid w:val="00BD336A"/>
    <w:rsid w:val="00BD7B3A"/>
    <w:rsid w:val="00BE09C3"/>
    <w:rsid w:val="00BE1435"/>
    <w:rsid w:val="00BE2204"/>
    <w:rsid w:val="00BE65E1"/>
    <w:rsid w:val="00BF083F"/>
    <w:rsid w:val="00BF10ED"/>
    <w:rsid w:val="00BF1B56"/>
    <w:rsid w:val="00C01B2D"/>
    <w:rsid w:val="00C10B33"/>
    <w:rsid w:val="00C10DBE"/>
    <w:rsid w:val="00C15F4B"/>
    <w:rsid w:val="00C2491B"/>
    <w:rsid w:val="00C256FE"/>
    <w:rsid w:val="00C27D97"/>
    <w:rsid w:val="00C30D0C"/>
    <w:rsid w:val="00C32A4C"/>
    <w:rsid w:val="00C57D10"/>
    <w:rsid w:val="00C708B5"/>
    <w:rsid w:val="00C728A5"/>
    <w:rsid w:val="00C828A2"/>
    <w:rsid w:val="00C846B7"/>
    <w:rsid w:val="00C94175"/>
    <w:rsid w:val="00C96927"/>
    <w:rsid w:val="00CB1100"/>
    <w:rsid w:val="00CB2028"/>
    <w:rsid w:val="00CC2412"/>
    <w:rsid w:val="00CD0AEC"/>
    <w:rsid w:val="00CD658C"/>
    <w:rsid w:val="00CE1404"/>
    <w:rsid w:val="00CE1E15"/>
    <w:rsid w:val="00CF46B6"/>
    <w:rsid w:val="00CF6E13"/>
    <w:rsid w:val="00CF71D3"/>
    <w:rsid w:val="00D01345"/>
    <w:rsid w:val="00D062E6"/>
    <w:rsid w:val="00D10CE9"/>
    <w:rsid w:val="00D11A1F"/>
    <w:rsid w:val="00D1532B"/>
    <w:rsid w:val="00D16883"/>
    <w:rsid w:val="00D21767"/>
    <w:rsid w:val="00D34533"/>
    <w:rsid w:val="00D4796F"/>
    <w:rsid w:val="00D54561"/>
    <w:rsid w:val="00D55B28"/>
    <w:rsid w:val="00D84DFC"/>
    <w:rsid w:val="00D85EBB"/>
    <w:rsid w:val="00DA38AD"/>
    <w:rsid w:val="00DA3A9B"/>
    <w:rsid w:val="00DA4478"/>
    <w:rsid w:val="00DA705B"/>
    <w:rsid w:val="00DA724E"/>
    <w:rsid w:val="00DB0E4F"/>
    <w:rsid w:val="00DB12F6"/>
    <w:rsid w:val="00DC7A33"/>
    <w:rsid w:val="00DD0DA9"/>
    <w:rsid w:val="00DD2950"/>
    <w:rsid w:val="00DD54CC"/>
    <w:rsid w:val="00DD7162"/>
    <w:rsid w:val="00DE115D"/>
    <w:rsid w:val="00DF5D08"/>
    <w:rsid w:val="00DF6245"/>
    <w:rsid w:val="00E02003"/>
    <w:rsid w:val="00E07D3F"/>
    <w:rsid w:val="00E134F3"/>
    <w:rsid w:val="00E13A44"/>
    <w:rsid w:val="00E15961"/>
    <w:rsid w:val="00E16110"/>
    <w:rsid w:val="00E224E2"/>
    <w:rsid w:val="00E24864"/>
    <w:rsid w:val="00E262F4"/>
    <w:rsid w:val="00E30957"/>
    <w:rsid w:val="00E348FD"/>
    <w:rsid w:val="00E3792B"/>
    <w:rsid w:val="00E41D3D"/>
    <w:rsid w:val="00E465AB"/>
    <w:rsid w:val="00E53FCE"/>
    <w:rsid w:val="00E543BE"/>
    <w:rsid w:val="00E54CEF"/>
    <w:rsid w:val="00E66197"/>
    <w:rsid w:val="00E67244"/>
    <w:rsid w:val="00E67C08"/>
    <w:rsid w:val="00E76AA5"/>
    <w:rsid w:val="00E821BF"/>
    <w:rsid w:val="00E968AD"/>
    <w:rsid w:val="00EC1DCB"/>
    <w:rsid w:val="00ED31F8"/>
    <w:rsid w:val="00ED4053"/>
    <w:rsid w:val="00ED511B"/>
    <w:rsid w:val="00ED6D68"/>
    <w:rsid w:val="00EF420F"/>
    <w:rsid w:val="00EF5A24"/>
    <w:rsid w:val="00EF70AB"/>
    <w:rsid w:val="00F0221B"/>
    <w:rsid w:val="00F038DA"/>
    <w:rsid w:val="00F0444C"/>
    <w:rsid w:val="00F14F02"/>
    <w:rsid w:val="00F16045"/>
    <w:rsid w:val="00F23F50"/>
    <w:rsid w:val="00F24C13"/>
    <w:rsid w:val="00F27A97"/>
    <w:rsid w:val="00F302A8"/>
    <w:rsid w:val="00F35CD1"/>
    <w:rsid w:val="00F42703"/>
    <w:rsid w:val="00F42945"/>
    <w:rsid w:val="00F42D1B"/>
    <w:rsid w:val="00F5026E"/>
    <w:rsid w:val="00F504DE"/>
    <w:rsid w:val="00F52F2E"/>
    <w:rsid w:val="00F53314"/>
    <w:rsid w:val="00F555B0"/>
    <w:rsid w:val="00F67CC0"/>
    <w:rsid w:val="00F74186"/>
    <w:rsid w:val="00F81645"/>
    <w:rsid w:val="00F81C4C"/>
    <w:rsid w:val="00F926EF"/>
    <w:rsid w:val="00F92885"/>
    <w:rsid w:val="00FA32AD"/>
    <w:rsid w:val="00FB32D7"/>
    <w:rsid w:val="00FB6104"/>
    <w:rsid w:val="00FD5AD8"/>
    <w:rsid w:val="00FE24B5"/>
    <w:rsid w:val="00FE4C05"/>
    <w:rsid w:val="00FE4C5D"/>
    <w:rsid w:val="00FE76D8"/>
    <w:rsid w:val="00FF1512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399CD2"/>
  <w15:docId w15:val="{D3EC3762-550B-403B-857E-7408DAA5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F8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3F83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F83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83"/>
  </w:style>
  <w:style w:type="paragraph" w:styleId="Footer">
    <w:name w:val="footer"/>
    <w:basedOn w:val="Normal"/>
    <w:link w:val="FooterChar"/>
    <w:uiPriority w:val="99"/>
    <w:unhideWhenUsed/>
    <w:rsid w:val="0051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83"/>
  </w:style>
  <w:style w:type="character" w:styleId="IntenseEmphasis">
    <w:name w:val="Intense Emphasis"/>
    <w:basedOn w:val="DefaultParagraphFont"/>
    <w:uiPriority w:val="21"/>
    <w:qFormat/>
    <w:rsid w:val="00513F83"/>
    <w:rPr>
      <w:b/>
      <w:bCs/>
      <w:i/>
      <w:iCs/>
      <w:color w:val="629DD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F83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7F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0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36D"/>
    <w:rPr>
      <w:color w:val="3EBBF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5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0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7DA"/>
  </w:style>
  <w:style w:type="table" w:styleId="LightList-Accent5">
    <w:name w:val="Light List Accent 5"/>
    <w:basedOn w:val="TableNormal"/>
    <w:uiPriority w:val="61"/>
    <w:rsid w:val="00185E7D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8A674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rmorrison@nasadad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wickramatilake@nasada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orrison@nasada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swickramatilake@nasada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sadad.org" TargetMode="External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900" b="0"/>
              <a:t>Total State Substance Use Disorder Prevention Expenditures, </a:t>
            </a:r>
          </a:p>
          <a:p>
            <a:pPr>
              <a:defRPr/>
            </a:pPr>
            <a:r>
              <a:rPr lang="en-US" sz="900" b="0"/>
              <a:t>State FY 2015 ($577 million)</a:t>
            </a:r>
          </a:p>
        </c:rich>
      </c:tx>
      <c:layout>
        <c:manualLayout>
          <c:xMode val="edge"/>
          <c:yMode val="edge"/>
          <c:x val="0.12927587921153089"/>
          <c:y val="3.134373898666691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0140529308836397E-2"/>
                  <c:y val="-0.117287839020122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SAPT Block Grant 
65.378%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33-42C7-988C-9A8C98AF9E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Medicaid
0.0001%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33-42C7-988C-9A8C98AF9EE3}"/>
                </c:ext>
              </c:extLst>
            </c:dLbl>
            <c:dLbl>
              <c:idx val="2"/>
              <c:layout>
                <c:manualLayout>
                  <c:x val="-4.0356080489938759E-2"/>
                  <c:y val="-3.292395742198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Federal
14.478%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33-42C7-988C-9A8C98AF9EE3}"/>
                </c:ext>
              </c:extLst>
            </c:dLbl>
            <c:dLbl>
              <c:idx val="3"/>
              <c:layout>
                <c:manualLayout>
                  <c:x val="-0.11913298337707787"/>
                  <c:y val="5.95075094779819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State
19.785%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33-42C7-988C-9A8C98AF9EE3}"/>
                </c:ext>
              </c:extLst>
            </c:dLbl>
            <c:dLbl>
              <c:idx val="4"/>
              <c:layout>
                <c:manualLayout>
                  <c:x val="0.24258906991692947"/>
                  <c:y val="6.0598564017760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Local/ Other
0.0011%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33-42C7-988C-9A8C98AF9EE3}"/>
                </c:ext>
              </c:extLst>
            </c:dLbl>
            <c:numFmt formatCode="0.0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SAPT Block Grant </c:v>
                </c:pt>
                <c:pt idx="1">
                  <c:v>Medicaid</c:v>
                </c:pt>
                <c:pt idx="2">
                  <c:v>Other Federal</c:v>
                </c:pt>
                <c:pt idx="3">
                  <c:v>State</c:v>
                </c:pt>
                <c:pt idx="4">
                  <c:v>Local/Other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0.64300000000000002</c:v>
                </c:pt>
                <c:pt idx="1">
                  <c:v>1.0000000000000001E-5</c:v>
                </c:pt>
                <c:pt idx="2">
                  <c:v>0.11600000000000001</c:v>
                </c:pt>
                <c:pt idx="3">
                  <c:v>0.23599999999999999</c:v>
                </c:pt>
                <c:pt idx="4">
                  <c:v>5.7000000000000002E-3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33-42C7-988C-9A8C98AF9E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12700">
      <a:solidFill>
        <a:schemeClr val="accent5"/>
      </a:solidFill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>
                <a:latin typeface="+mj-lt"/>
              </a:defRPr>
            </a:pPr>
            <a:r>
              <a:rPr lang="en-US" sz="700">
                <a:latin typeface="+mj-lt"/>
              </a:rPr>
              <a:t>Past</a:t>
            </a:r>
            <a:r>
              <a:rPr lang="en-US" sz="700" baseline="0">
                <a:latin typeface="+mj-lt"/>
              </a:rPr>
              <a:t> Year Alcohol Use among High School Seniors: 2000-2016</a:t>
            </a:r>
            <a:endParaRPr lang="en-US" sz="700">
              <a:latin typeface="+mj-lt"/>
            </a:endParaRPr>
          </a:p>
        </c:rich>
      </c:tx>
      <c:layout>
        <c:manualLayout>
          <c:xMode val="edge"/>
          <c:yMode val="edge"/>
          <c:x val="0.14693464712540386"/>
          <c:y val="0.0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95480518883708E-2"/>
          <c:y val="0.15275800524934383"/>
          <c:w val="0.77398798823466231"/>
          <c:h val="0.6953889218505164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Alcohol</c:v>
                </c:pt>
              </c:strCache>
            </c:strRef>
          </c:tx>
          <c:marker>
            <c:symbol val="none"/>
          </c:marker>
          <c:dLbls>
            <c:dLbl>
              <c:idx val="14"/>
              <c:layout>
                <c:manualLayout>
                  <c:x val="1.1375789056761346E-2"/>
                  <c:y val="0.196046290528800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Alcohol, 55.6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2F-4148-B156-45FBB1B58F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+mj-lt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73.2</c:v>
                </c:pt>
                <c:pt idx="1">
                  <c:v>73.3</c:v>
                </c:pt>
                <c:pt idx="2">
                  <c:v>71.5</c:v>
                </c:pt>
                <c:pt idx="3">
                  <c:v>70.099999999999994</c:v>
                </c:pt>
                <c:pt idx="4">
                  <c:v>70.599999999999994</c:v>
                </c:pt>
                <c:pt idx="5">
                  <c:v>68.599999999999994</c:v>
                </c:pt>
                <c:pt idx="6">
                  <c:v>66.5</c:v>
                </c:pt>
                <c:pt idx="7">
                  <c:v>66.400000000000006</c:v>
                </c:pt>
                <c:pt idx="8">
                  <c:v>65.5</c:v>
                </c:pt>
                <c:pt idx="9">
                  <c:v>66.2</c:v>
                </c:pt>
                <c:pt idx="10">
                  <c:v>65.2</c:v>
                </c:pt>
                <c:pt idx="11">
                  <c:v>63.5</c:v>
                </c:pt>
                <c:pt idx="12">
                  <c:v>63.5</c:v>
                </c:pt>
                <c:pt idx="13">
                  <c:v>62</c:v>
                </c:pt>
                <c:pt idx="14">
                  <c:v>60.2</c:v>
                </c:pt>
                <c:pt idx="15">
                  <c:v>58.2</c:v>
                </c:pt>
                <c:pt idx="16">
                  <c:v>55.6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2F-4148-B156-45FBB1B58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201600"/>
        <c:axId val="34203136"/>
      </c:lineChart>
      <c:catAx>
        <c:axId val="3420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600">
                <a:latin typeface="+mj-lt"/>
              </a:defRPr>
            </a:pPr>
            <a:endParaRPr lang="en-US"/>
          </a:p>
        </c:txPr>
        <c:crossAx val="34203136"/>
        <c:crosses val="autoZero"/>
        <c:auto val="1"/>
        <c:lblAlgn val="ctr"/>
        <c:lblOffset val="100"/>
        <c:noMultiLvlLbl val="0"/>
      </c:catAx>
      <c:valAx>
        <c:axId val="34203136"/>
        <c:scaling>
          <c:orientation val="minMax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600" i="1">
                    <a:latin typeface="+mj-lt"/>
                  </a:defRPr>
                </a:pPr>
                <a:r>
                  <a:rPr lang="en-US" sz="600" i="1">
                    <a:latin typeface="+mj-lt"/>
                  </a:rPr>
                  <a:t>Percent Reporting Past</a:t>
                </a:r>
                <a:r>
                  <a:rPr lang="en-US" sz="600" i="1" baseline="0">
                    <a:latin typeface="+mj-lt"/>
                  </a:rPr>
                  <a:t> Year Use</a:t>
                </a:r>
                <a:endParaRPr lang="en-US" sz="600" i="1">
                  <a:latin typeface="+mj-lt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+mj-lt"/>
              </a:defRPr>
            </a:pPr>
            <a:endParaRPr lang="en-US"/>
          </a:p>
        </c:txPr>
        <c:crossAx val="3420160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12700">
      <a:solidFill>
        <a:schemeClr val="accent5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>
                <a:latin typeface="+mj-lt"/>
              </a:defRPr>
            </a:pPr>
            <a:r>
              <a:rPr lang="en-US" sz="700">
                <a:latin typeface="+mj-lt"/>
              </a:rPr>
              <a:t>Past Year Use</a:t>
            </a:r>
            <a:r>
              <a:rPr lang="en-US" sz="700" baseline="0">
                <a:latin typeface="+mj-lt"/>
              </a:rPr>
              <a:t> of Selected Drugs among High School Seniors: 2004-2016</a:t>
            </a:r>
            <a:endParaRPr lang="en-US" sz="700">
              <a:latin typeface="+mj-lt"/>
            </a:endParaRPr>
          </a:p>
        </c:rich>
      </c:tx>
      <c:layout>
        <c:manualLayout>
          <c:xMode val="edge"/>
          <c:yMode val="edge"/>
          <c:x val="0.10763834762275916"/>
          <c:y val="3.06278713629402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075277048702251E-2"/>
          <c:y val="0.1648918980839493"/>
          <c:w val="0.76714694517352"/>
          <c:h val="0.6843767710506324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Cocaine</c:v>
                </c:pt>
              </c:strCache>
            </c:strRef>
          </c:tx>
          <c:marker>
            <c:symbol val="none"/>
          </c:marker>
          <c:dLbls>
            <c:dLbl>
              <c:idx val="10"/>
              <c:layout>
                <c:manualLayout>
                  <c:x val="0.10901498477124999"/>
                  <c:y val="1.54639908601628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Cocaine, 2.3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35-4E70-8936-42DCF1F7A1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+mj-lt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5.3</c:v>
                </c:pt>
                <c:pt idx="1">
                  <c:v>5.0999999999999996</c:v>
                </c:pt>
                <c:pt idx="2">
                  <c:v>5.7</c:v>
                </c:pt>
                <c:pt idx="3">
                  <c:v>5.2</c:v>
                </c:pt>
                <c:pt idx="4">
                  <c:v>4.4000000000000004</c:v>
                </c:pt>
                <c:pt idx="5">
                  <c:v>3.4</c:v>
                </c:pt>
                <c:pt idx="6">
                  <c:v>2.9</c:v>
                </c:pt>
                <c:pt idx="7">
                  <c:v>2.9</c:v>
                </c:pt>
                <c:pt idx="8">
                  <c:v>2.7</c:v>
                </c:pt>
                <c:pt idx="9">
                  <c:v>2.6</c:v>
                </c:pt>
                <c:pt idx="10">
                  <c:v>2.6</c:v>
                </c:pt>
                <c:pt idx="11">
                  <c:v>2.5</c:v>
                </c:pt>
                <c:pt idx="12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35-4E70-8936-42DCF1F7A1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Prescription Opioids</c:v>
                </c:pt>
              </c:strCache>
            </c:strRef>
          </c:tx>
          <c:marker>
            <c:symbol val="none"/>
          </c:marker>
          <c:dLbls>
            <c:dLbl>
              <c:idx val="10"/>
              <c:layout>
                <c:manualLayout>
                  <c:x val="0.11293443639108634"/>
                  <c:y val="8.611891711415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Prescription Opioids, 4.8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35-4E70-8936-42DCF1F7A1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+mj-lt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9.5</c:v>
                </c:pt>
                <c:pt idx="1">
                  <c:v>9</c:v>
                </c:pt>
                <c:pt idx="2">
                  <c:v>9</c:v>
                </c:pt>
                <c:pt idx="3">
                  <c:v>9.1999999999999993</c:v>
                </c:pt>
                <c:pt idx="4">
                  <c:v>9.1</c:v>
                </c:pt>
                <c:pt idx="5">
                  <c:v>9.1999999999999993</c:v>
                </c:pt>
                <c:pt idx="6">
                  <c:v>8.6999999999999993</c:v>
                </c:pt>
                <c:pt idx="7">
                  <c:v>8.6999999999999993</c:v>
                </c:pt>
                <c:pt idx="8">
                  <c:v>7.9</c:v>
                </c:pt>
                <c:pt idx="9">
                  <c:v>7.1</c:v>
                </c:pt>
                <c:pt idx="10">
                  <c:v>6.1</c:v>
                </c:pt>
                <c:pt idx="11">
                  <c:v>5.4</c:v>
                </c:pt>
                <c:pt idx="12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935-4E70-8936-42DCF1F7A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668992"/>
        <c:axId val="25674880"/>
      </c:lineChart>
      <c:catAx>
        <c:axId val="2566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600">
                <a:latin typeface="+mj-lt"/>
              </a:defRPr>
            </a:pPr>
            <a:endParaRPr lang="en-US"/>
          </a:p>
        </c:txPr>
        <c:crossAx val="25674880"/>
        <c:crosses val="autoZero"/>
        <c:auto val="1"/>
        <c:lblAlgn val="ctr"/>
        <c:lblOffset val="100"/>
        <c:noMultiLvlLbl val="0"/>
      </c:catAx>
      <c:valAx>
        <c:axId val="25674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600" i="1">
                    <a:latin typeface="+mj-lt"/>
                  </a:defRPr>
                </a:pPr>
                <a:r>
                  <a:rPr lang="en-US" sz="600" i="1">
                    <a:latin typeface="+mj-lt"/>
                  </a:rPr>
                  <a:t>Percent Reporting Past Year Use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+mj-lt"/>
              </a:defRPr>
            </a:pPr>
            <a:endParaRPr lang="en-US"/>
          </a:p>
        </c:txPr>
        <c:crossAx val="25668992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accent5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981289-A832-4E73-A754-35FD9DA1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 Wickramatilake</dc:creator>
  <cp:lastModifiedBy>Shalini Wickramatilake</cp:lastModifiedBy>
  <cp:revision>10</cp:revision>
  <cp:lastPrinted>2017-05-09T19:47:00Z</cp:lastPrinted>
  <dcterms:created xsi:type="dcterms:W3CDTF">2017-01-12T19:41:00Z</dcterms:created>
  <dcterms:modified xsi:type="dcterms:W3CDTF">2017-05-09T19:50:00Z</dcterms:modified>
</cp:coreProperties>
</file>